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FE" w:rsidRPr="00AB60FE" w:rsidRDefault="00AB60FE" w:rsidP="00AB60FE">
      <w:pPr>
        <w:pStyle w:val="1"/>
        <w:shd w:val="clear" w:color="auto" w:fill="FFFFFF"/>
        <w:spacing w:before="450" w:beforeAutospacing="0" w:after="0" w:afterAutospacing="0"/>
        <w:ind w:firstLineChars="450" w:firstLine="1215"/>
        <w:rPr>
          <w:rFonts w:ascii="微软雅黑" w:eastAsia="微软雅黑" w:hAnsi="微软雅黑" w:hint="eastAsia"/>
          <w:color w:val="333333"/>
          <w:sz w:val="54"/>
          <w:szCs w:val="54"/>
        </w:rPr>
      </w:pPr>
      <w:r>
        <w:rPr>
          <w:rFonts w:ascii="微软雅黑" w:eastAsia="微软雅黑" w:hAnsi="微软雅黑" w:hint="eastAsia"/>
          <w:color w:val="333333"/>
          <w:sz w:val="27"/>
          <w:szCs w:val="27"/>
        </w:rPr>
        <w:t xml:space="preserve">　</w:t>
      </w:r>
      <w:r w:rsidRPr="00AB60FE">
        <w:rPr>
          <w:rFonts w:ascii="微软雅黑" w:eastAsia="微软雅黑" w:hAnsi="微软雅黑" w:hint="eastAsia"/>
          <w:color w:val="333333"/>
          <w:sz w:val="54"/>
          <w:szCs w:val="54"/>
        </w:rPr>
        <w:t>中国共产党问责条例</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为了坚持党的领导，加强党的建设，全面从严治党，保证党的路线方针政策和党中央重大决策部署贯彻落实，规范和强化党的问责工作，根据《中国共产党章程》，制定本条例。</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党的问责工作应当坚持以下原则：</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（一）依规依纪、实事求是；</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（二）失责必问、问责必严；</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（三）权责一致、错责相当；</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（四）严管和厚爱结合、激励和约束并重；</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（五）惩前毖后、治病救人；</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（六）集体决定、分清责任。</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党委（党组）应当履行全面从严治党主体责任，加强对本地区本部门本单位问责工作的领导，追究在党的建设、党的事业中失职失责党组织和党的领导干部的主体责任、监督责任、领导责任。</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纪委应当履行监督专责，协助同级党委开展问责工作。纪委派驻（派出）机构按照职责权限开展问责工作。</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党的工作机关应当依据职能履行监督职责，实施本机关本系统本领域的问责工作。</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问责对象是党组织、党的领导干部，重点是党委（党组）、党的工作机关及其领导成员，纪委、纪委派驻（派出）机构及其领导成员。</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问责应当分清责任。党组织领导班子在职责范围内负有全面领导责任，领导班子主要负责人和直接主管的班子成员在职责范围内承担主要领导责任，参与决策和工作的班子成员在职责范围内承担重要领导责任。</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对党组织问责的，应当同时对该党组织中负有责任的领导班子成员进行问责。</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党组织和党的领导干部应当坚持把自己摆进去、把职责摆进去、把工作摆进去，注重从自身找问题、查原因，勇于担当、敢于负责，不得向下级党组织和干部推卸责任。</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党组织、党的领导干部违反党章和其他党内法规，不履行或者不正确履行职责，有下列情形之一，应当予以问责：</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（三）党的思想建设缺失，党性教育特别是理想信念宗旨教育流于形式，意识形态工作责任制落实不到位，造成严重后果或者恶劣影响的；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（六）党的纪律建设抓得不严，维护党的政治纪律、组织纪律、廉洁纪律、群众纪律、工作纪律、生活纪律不力，导致违规违纪行为多发，造成恶劣影响的；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推进党风廉政建设和反腐败斗争不坚决、不扎实，削减存量、遏制增量不力，特别是对不收敛、不收手，问题线索反映集中、群众反映强烈，政治问题和经济问题交织的腐败案件放任不管，造成恶劣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（九）履行管理、监督职责不力，职责范围内发生重特大生产安全事故、群体性事件、公共安全事件，或者发生其他严重事故、事件，造成重大损失或者恶劣影响的；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（十一）其他应当问责的失职失责情形。</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对党组织的问责，根据危害程度以及具体情况，可以采取以下方式：</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（一）检查。责令作出书面检查并切实整改。</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（二）通报。责令整改，并在一定范围内通报。</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（三）改组。对失职失责，严重违犯党的纪律、本身又不能纠正的，应当予以改组。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对党的领导干部的问责，根据危害程度以及具体情况，可以采取以下方式：</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（一）通报。进行严肃批评，责令作出书面检查、切实整改，并在一定范围内通报。</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（二）诫勉。以谈话或者书面方式进行诫勉。</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（三）组织调整或者组织处理。对失职失责、危害较重，不适宜担任现职的，应当根据情况采取停职检查、调整职务、责令辞职、免职、降职等措施。</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（四）纪律处分。对失职失责、危害严重，应当给予纪律处分的，依照《中国共产党纪律处分条例》追究纪律责任。</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上述问责方式，可以单独使用，也可以依据规定合并使用。问责方式有影响期的，按照有关规定执行。</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应当启动问责调查未及时启动的，上级党组织应当责令有管理权限的党组织启动。根据问题性质或者工作需要，上级党组织可以直接启动问责调查，也可以指定其他党组织启动。</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对被立案审查的党组织、党的领导干部问责的，不再另行启动问责调查程序。</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调查工作结束后，调查组应当集体讨论，形成调查报告，列明调查对象基本情况、调查依据、调查过程，问责事实，调查对象的态度、认识及其申辩，处理意见以及依据，由调查组组长以及有关人员签名后，履行审批手续。</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问责决定应当由有管理权限的党组织作出。</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对同级党委直接领导的党组织，纪委和党的工作机关报经同级党委或者其主要负责人批准，可以采取检查、通报方式进行问责。采取改组方式问责的，按照党章和有关党内法规规定的权限、程序执行。</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被问责党组织、被问责领导干部及其所在党组织应当深刻汲取教训，明确整改措施。作出问责决定的党组织应当加强督促检查，推动以案促改。</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需要对问责对象作出政务处分或者其他处理的，作出问责决定的党组织应当通报相关单位，相关单位应当及时处理并将结果通报或者报告作出问责决定的党组织。</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实行终身问责，对失职失责性质恶劣、后果严重的，不论其责任人是否调离转岗、提拔或者退休等，都应当严肃问责。</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有下列情形之一的，可以不予问责或者免予问责：</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（一）在推进改革中因缺乏经验、先行先试出现的失误，尚无明确限制的探索性试验中的失误，为推动发展的无意过失；</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（二）在集体决策中对错误决策提出明确反对意见或者保留意见的；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（三）在决策实施中已经履职尽责，但因不可抗力、难以预见等因素造成损失的。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对上级错误决定提出改正或者撤销意见未被采纳，而出现本条例第七条所列问责情形的，依照前款规定处理。上级错误决定明显违法违规的，应当承担相应的责任。</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有下列情形之一，可以从轻或者减轻问责：</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（一）及时采取补救措施，有效挽回损失或者消除不良影响的；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（二）积极配合问责调查工作，主动承担责任的；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（三）党内法规规定的其他从轻、减轻情形。</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有下列情形之一，应当从重或者加重问责：</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（一）对党中央、上级党组织三令五申的指示要求，不执行或者执行不力的；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（二）在接受问责调查和处理中，不如实报告情况，敷衍塞责、推卸责任，或者唆使、默许有关部门和人员弄虚作假，阻扰问责工作的；</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（三）党内法规规定的其他从重、加重情形。</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申诉期间，不停止问责决定的执行。</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党组织、党的领导干部滥用问责，或者在问责工作中严重不负责任，造成不良影响的，应当严肃追究责任。</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正确对待被问责干部，对影响期满、表现好的干部，符合条件的，按照干部选拔任用有关规定正常使用。</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本条例所涉及的审批权限均指最低审批权限，工作中根据需要可以按照更高层级的审批权限报批。</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纪委派驻（派出）机构除执行本条例外，还应当执行党中央以及中央纪委相关规定。</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中央军事委员会可以根据本条例制定相关规定。</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本条例由中央纪律检查委员会负责解释。</w:t>
      </w:r>
    </w:p>
    <w:p w:rsidR="00AB60FE" w:rsidRDefault="00AB60FE" w:rsidP="00AB60F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本条例自2019年9月1日起施行。2016年7月8日中共中央印发的《中国共产党问责条例》同时废止。此前发布的有关问责的规定，凡与本条例不一致的，按照本条例执行。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D37D8"/>
    <w:rsid w:val="00426133"/>
    <w:rsid w:val="004358AB"/>
    <w:rsid w:val="00592473"/>
    <w:rsid w:val="008B7726"/>
    <w:rsid w:val="00AB60F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AB60FE"/>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0FE"/>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AB60F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40135">
      <w:bodyDiv w:val="1"/>
      <w:marLeft w:val="0"/>
      <w:marRight w:val="0"/>
      <w:marTop w:val="0"/>
      <w:marBottom w:val="0"/>
      <w:divBdr>
        <w:top w:val="none" w:sz="0" w:space="0" w:color="auto"/>
        <w:left w:val="none" w:sz="0" w:space="0" w:color="auto"/>
        <w:bottom w:val="none" w:sz="0" w:space="0" w:color="auto"/>
        <w:right w:val="none" w:sz="0" w:space="0" w:color="auto"/>
      </w:divBdr>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2020-07-28T02:36:00Z</dcterms:modified>
</cp:coreProperties>
</file>