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24" w:name="_GoBack"/>
      <w:bookmarkEnd w:id="24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内江市中医医院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全预约平台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项目采购需求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pStyle w:val="6"/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一、项目概述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2020年05月21日，国家卫生健康委办公厅发布了《关于进一步完善预约诊疗制度加强智慧医院建设的通知》，为改善人民群众就医体验，各地不断推进以电子病历为核心的医院信息化建设，创新发展智慧医院、互联网医院，建立完善预约诊疗制度等改善医疗服务工作。</w:t>
      </w:r>
      <w:r>
        <w:rPr>
          <w:rFonts w:hint="eastAsia" w:ascii="仿宋_GB2312" w:hAnsi="仿宋_GB2312" w:eastAsia="仿宋_GB2312" w:cs="仿宋_GB2312"/>
          <w:lang w:val="en-US" w:eastAsia="zh-CN"/>
        </w:rPr>
        <w:t>同时，为贯彻落实国家卫生健康委、国家中医药管理局《关于开展改善就医感受提升患者体验主题活动的通知》（国卫医政发﹝2023﹞11号）的文件精神，创新发展智慧医疗健康服务，进一步解决人民群众看病就医的急难愁盼问题，改善全过程的就医感受，提升患者体验，保障人民群众享有公立医院高质量发展成果，我院制定了《内江市中医医院“改善就医感受　提升患者体验”主题活动实施方案》，《实施方案》中提到要优化预约诊疗平台，推行实名制预约，加强退号、失约管理，严厉打击“号贩子”。根据临床管理的需要，充分利用信息平台的开放性和互动性，以数字化、信息化等手段，辅助提高</w:t>
      </w:r>
      <w:r>
        <w:rPr>
          <w:rFonts w:hint="eastAsia" w:ascii="仿宋_GB2312" w:hAnsi="仿宋_GB2312" w:cs="仿宋_GB2312"/>
          <w:lang w:val="en-US" w:eastAsia="zh-CN"/>
        </w:rPr>
        <w:t>我院</w:t>
      </w:r>
      <w:r>
        <w:rPr>
          <w:rFonts w:hint="eastAsia" w:ascii="仿宋_GB2312" w:hAnsi="仿宋_GB2312" w:eastAsia="仿宋_GB2312" w:cs="仿宋_GB2312"/>
          <w:lang w:val="en-US" w:eastAsia="zh-CN"/>
        </w:rPr>
        <w:t>的接诊能力。</w:t>
      </w:r>
      <w:r>
        <w:rPr>
          <w:rFonts w:hint="eastAsia" w:ascii="仿宋_GB2312" w:hAnsi="仿宋_GB2312" w:cs="仿宋_GB2312"/>
          <w:lang w:val="en-US" w:eastAsia="zh-CN"/>
        </w:rPr>
        <w:t>我院</w:t>
      </w:r>
      <w:r>
        <w:rPr>
          <w:rFonts w:hint="default" w:ascii="仿宋_GB2312" w:hAnsi="仿宋_GB2312" w:cs="仿宋_GB2312"/>
          <w:lang w:val="en-US" w:eastAsia="zh-CN"/>
        </w:rPr>
        <w:t>拟按照</w:t>
      </w:r>
      <w:r>
        <w:rPr>
          <w:rFonts w:hint="eastAsia" w:ascii="仿宋_GB2312" w:hAnsi="仿宋_GB2312" w:cs="仿宋_GB2312"/>
          <w:lang w:val="en-US" w:eastAsia="zh-CN"/>
        </w:rPr>
        <w:t>《四川省智慧医院评价实施细则（2024版）》</w:t>
      </w:r>
      <w:r>
        <w:rPr>
          <w:rFonts w:hint="default" w:ascii="仿宋_GB2312" w:hAnsi="仿宋_GB2312" w:cs="仿宋_GB2312"/>
          <w:lang w:val="en-US" w:eastAsia="zh-CN"/>
        </w:rPr>
        <w:t>标准</w:t>
      </w:r>
      <w:r>
        <w:rPr>
          <w:rFonts w:hint="eastAsia" w:ascii="仿宋_GB2312" w:hAnsi="仿宋_GB2312" w:cs="仿宋_GB2312"/>
          <w:lang w:val="en-US" w:eastAsia="zh-CN"/>
        </w:rPr>
        <w:t>建设全预约平台</w:t>
      </w:r>
      <w:r>
        <w:rPr>
          <w:rFonts w:hint="default" w:ascii="仿宋_GB2312" w:hAnsi="仿宋_GB2312" w:cs="仿宋_GB2312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二、采购项目标的清单、预算、时间、时限</w:t>
      </w:r>
    </w:p>
    <w:p>
      <w:pPr>
        <w:pStyle w:val="6"/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（一）采购项目清单：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253"/>
        <w:gridCol w:w="113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需求软件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消息统一推送管理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统一预约业务基础平台管理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检查统一预约管理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检验采样统一预约管理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床位统一预约管理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日间手术统一预约管理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治疗统一预约管理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互联互通接口服务管理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医院现有系统接口改造服务管理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或云服务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（二）采购预算：</w:t>
      </w:r>
      <w:r>
        <w:rPr>
          <w:rFonts w:hint="eastAsia" w:ascii="仿宋_GB2312" w:hAnsi="仿宋_GB2312" w:cs="仿宋_GB2312"/>
          <w:lang w:val="en-US" w:eastAsia="zh-CN"/>
        </w:rPr>
        <w:t>260万元内</w:t>
      </w:r>
    </w:p>
    <w:p>
      <w:pPr>
        <w:pStyle w:val="7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（三）采购时间：</w:t>
      </w:r>
      <w:r>
        <w:rPr>
          <w:rFonts w:hint="eastAsia" w:ascii="仿宋_GB2312" w:hAnsi="仿宋_GB2312" w:cs="仿宋_GB2312"/>
          <w:lang w:val="en-US" w:eastAsia="zh-CN"/>
        </w:rPr>
        <w:t>预计2024年8至12月份</w:t>
      </w:r>
    </w:p>
    <w:p>
      <w:pPr>
        <w:pStyle w:val="7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（四）项目完成时限：</w:t>
      </w:r>
      <w:r>
        <w:rPr>
          <w:rFonts w:hint="eastAsia" w:ascii="仿宋_GB2312" w:hAnsi="仿宋_GB2312" w:cs="仿宋_GB2312"/>
          <w:lang w:val="en-US" w:eastAsia="zh-CN"/>
        </w:rPr>
        <w:t>合同签订后90天内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注：以最终发布的采购公告及采购文件为准</w:t>
      </w:r>
    </w:p>
    <w:p>
      <w:pPr>
        <w:pStyle w:val="6"/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三、技术要求：</w:t>
      </w:r>
    </w:p>
    <w:p>
      <w:pPr>
        <w:pStyle w:val="7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（一）满足智慧医院建设三级评价需求</w:t>
      </w:r>
    </w:p>
    <w:p>
      <w:pPr>
        <w:pStyle w:val="7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医院建设目标为三级智慧医院，在《四川省智慧医院评价实施细则（2024版）》中，属于全院预约系统范畴，且直接影响三级评审的评分项占据10项，合计5.4分。具体如下：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2.1（1）支持使用自助设备或在门诊诊间完成就诊、检查、检验预约与管理；（0.3分）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2.1（2）院内资源或信息发生变化时，可及时通知患者，如可住院床位变化/临时限号/医师停诊/检查设备故障等；（0.2分）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2.1（5）系统有预约挂号，预约检查、预约检验、门诊手术预约等诊疗场景的诊间预约功能；(0.5分)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2.1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（7）可根据患者检查、治疗情况，自动为患者提供预约安排参考；（0.5分）★★★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2.1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（8）支持患者通过网络预约申请住院时间、床位类型等信息，并做好对应安排；（0.5分）★★★★★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2.4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（1）为患者提供移动端的诊疗活动情况告知，如：手术通知、入院提示、出院提示，取药、报告、危急值信息等；（0.2分）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2.4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（3）患者能够在移动端实时查询等候状态，包括：候诊、检查、治疗等；（0.4分）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2.5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（2）支持患者使用自有移动设备及PC设备查询各类公共信息，如就诊到检、剩余号源、候诊信息、取药信息、抽血到检、检查到检等，实现不少于3项；（0.8分）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2.5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（4）患者可在移动端实时查询相关诊疗科室位置及患者排队诊疗情况；（1分）★★★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2.5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（5）可根据患者等候队列的实时变化，提示并引导患者就诊；（1分）★★★</w:t>
      </w:r>
    </w:p>
    <w:p>
      <w:pPr>
        <w:pStyle w:val="6"/>
        <w:numPr>
          <w:ilvl w:val="0"/>
          <w:numId w:val="0"/>
        </w:numPr>
        <w:rPr>
          <w:rFonts w:hint="default" w:ascii="仿宋_GB2312" w:hAnsi="仿宋_GB2312" w:cs="仿宋_GB2312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（二）项目建设保障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numPr>
          <w:ilvl w:val="0"/>
          <w:numId w:val="0"/>
        </w:numP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1.</w:t>
      </w:r>
      <w:bookmarkStart w:id="0" w:name="_Toc169027706"/>
      <w:bookmarkStart w:id="1" w:name="_Toc532823856"/>
      <w:bookmarkStart w:id="2" w:name="_Toc36568082"/>
      <w:bookmarkStart w:id="3" w:name="_Toc34935001"/>
      <w:bookmarkStart w:id="4" w:name="_Toc13151354"/>
      <w:bookmarkStart w:id="5" w:name="_Toc32073245"/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系统安装集成服务</w:t>
      </w:r>
      <w:bookmarkEnd w:id="0"/>
      <w:bookmarkEnd w:id="1"/>
      <w:bookmarkEnd w:id="2"/>
      <w:bookmarkEnd w:id="3"/>
      <w:bookmarkEnd w:id="4"/>
      <w:bookmarkEnd w:id="5"/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软件系统研发完成后，</w:t>
      </w: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需进行系统的安装、配置、基础数据填充、线上测试、性能调优等服务工作。硬件采购到货后，</w:t>
      </w: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需进行硬件设备的到货验收、设备安装、设备调试、设备接入、系统整体联调、设备数据上线测试等服务工作。</w:t>
      </w:r>
    </w:p>
    <w:p>
      <w:pPr>
        <w:pStyle w:val="2"/>
        <w:numPr>
          <w:ilvl w:val="1"/>
          <w:numId w:val="0"/>
        </w:numPr>
        <w:spacing w:before="156" w:after="156"/>
        <w:ind w:leftChars="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2.</w:t>
      </w:r>
      <w:bookmarkStart w:id="6" w:name="_Toc34935009"/>
      <w:bookmarkStart w:id="7" w:name="_Toc36568090"/>
      <w:bookmarkStart w:id="8" w:name="_Toc13151363"/>
      <w:bookmarkStart w:id="9" w:name="_Toc532823867"/>
      <w:bookmarkStart w:id="10" w:name="_Toc169027707"/>
      <w:bookmarkStart w:id="11" w:name="_Toc32073253"/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咨询、管理变革服务</w:t>
      </w:r>
      <w:bookmarkEnd w:id="6"/>
      <w:bookmarkEnd w:id="7"/>
      <w:bookmarkEnd w:id="8"/>
      <w:bookmarkEnd w:id="9"/>
      <w:bookmarkEnd w:id="10"/>
      <w:bookmarkEnd w:id="11"/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按照统一规划、分步实施的建设原则，</w:t>
      </w: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需与院方一起确定项目的战略目标，并通过管理咨询的流程管理和分析、信息架构、应用系统分析和设计、技术架构、项目管理和实施等分析工具，从战略目标到业务目标，从业务目标到IT目标，从IT目标到应用蓝图，从应用蓝图到分阶段实施逐一分解落实，解决信息化建设普遍存在的目标不清、路径不明的问题，为更加系统化、规范化地推进工作提供有力支撑。</w:t>
      </w:r>
    </w:p>
    <w:p>
      <w:pPr>
        <w:pStyle w:val="2"/>
        <w:numPr>
          <w:ilvl w:val="1"/>
          <w:numId w:val="0"/>
        </w:numPr>
        <w:spacing w:before="156" w:after="156"/>
        <w:ind w:leftChars="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bookmarkStart w:id="12" w:name="_Toc34935012"/>
      <w:bookmarkStart w:id="13" w:name="_Toc36568093"/>
      <w:bookmarkStart w:id="14" w:name="_Toc32073256"/>
      <w:bookmarkStart w:id="15" w:name="_Toc532823870"/>
      <w:bookmarkStart w:id="16" w:name="_Toc13151366"/>
      <w:bookmarkStart w:id="17" w:name="_Toc169027710"/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3.培训服务</w:t>
      </w:r>
      <w:bookmarkEnd w:id="12"/>
      <w:bookmarkEnd w:id="13"/>
      <w:bookmarkEnd w:id="14"/>
      <w:bookmarkEnd w:id="15"/>
      <w:bookmarkEnd w:id="16"/>
      <w:bookmarkEnd w:id="17"/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本项目的最终用户包括医院医生、技师、护士。各层次工作人员的业务能力差距较大，为确保项目的建设能真正服务于业务与管理，需要建设一支业务综合素质过硬的中坚力量。</w:t>
      </w:r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需通过对不同层次工作人员进行培训，提升医院工作人员自身业务能力和操作人员的业务水平，增强严格履行岗位职责的能力，提升工作效率。</w:t>
      </w:r>
    </w:p>
    <w:p>
      <w:pPr>
        <w:pStyle w:val="8"/>
        <w:numPr>
          <w:ilvl w:val="0"/>
          <w:numId w:val="0"/>
        </w:numP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bookmarkStart w:id="18" w:name="_Toc13151367"/>
      <w:bookmarkStart w:id="19" w:name="_Toc32073257"/>
      <w:bookmarkStart w:id="20" w:name="_Toc532823871"/>
      <w:bookmarkStart w:id="21" w:name="_Toc34935013"/>
      <w:bookmarkStart w:id="22" w:name="_Toc36568094"/>
      <w:bookmarkStart w:id="23" w:name="_Toc169027711"/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4.运行保障服务</w:t>
      </w:r>
      <w:bookmarkEnd w:id="18"/>
      <w:bookmarkEnd w:id="19"/>
      <w:bookmarkEnd w:id="20"/>
      <w:bookmarkEnd w:id="21"/>
      <w:bookmarkEnd w:id="22"/>
      <w:bookmarkEnd w:id="23"/>
    </w:p>
    <w:p>
      <w:pPr>
        <w:pStyle w:val="8"/>
        <w:ind w:firstLine="640" w:firstLineChars="200"/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在本次项目的运维范围内，应针对项目的整体特性和使用要求，要提供高质量的运维管理服务，做到“响应快速、程序规范、分工合理、职责明确、服务到位、支持有力”，确保系统的正常运行和使用管理制度及程序的规范化，为整个系统提供切实可行的技术保障。系统上线前需进行安全测试。</w:t>
      </w:r>
    </w:p>
    <w:p>
      <w:pPr>
        <w:pStyle w:val="8"/>
        <w:ind w:firstLine="640" w:firstLineChars="200"/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潜在供应商</w:t>
      </w:r>
      <w:r>
        <w:rPr>
          <w:rFonts w:hint="eastAsia" w:ascii="仿宋_GB2312" w:hAnsi="仿宋_GB2312" w:eastAsia="仿宋_GB2312" w:cs="仿宋_GB2312"/>
          <w:smallCaps/>
          <w:kern w:val="2"/>
          <w:sz w:val="32"/>
          <w:szCs w:val="24"/>
          <w:lang w:val="en-US" w:eastAsia="zh-CN" w:bidi="ar-SA"/>
        </w:rPr>
        <w:t>在整个运维服务周期内，要建立完善的沟通协调机制，及时提供运维服务的各种报告，包括运维服务日志、重大故障维修报告、故障总结报告、系统管理报告、系统维护报告等。</w:t>
      </w:r>
    </w:p>
    <w:p>
      <w:pPr>
        <w:pStyle w:val="7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（三）项目实施要求</w:t>
      </w:r>
    </w:p>
    <w:p>
      <w:pPr>
        <w:pStyle w:val="7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1.</w:t>
      </w:r>
      <w:r>
        <w:rPr>
          <w:rFonts w:hint="default" w:ascii="仿宋_GB2312" w:hAnsi="仿宋_GB2312" w:cs="仿宋_GB2312"/>
          <w:lang w:val="en-US" w:eastAsia="zh-CN"/>
        </w:rPr>
        <w:t>潜在供应商应详细描述本次项目整体实施方案，包括项目概述、</w:t>
      </w:r>
      <w:r>
        <w:rPr>
          <w:rFonts w:hint="eastAsia" w:ascii="仿宋_GB2312" w:hAnsi="仿宋_GB2312" w:cs="仿宋_GB2312"/>
          <w:lang w:val="en-US" w:eastAsia="zh-CN"/>
        </w:rPr>
        <w:t>项目</w:t>
      </w:r>
      <w:r>
        <w:rPr>
          <w:rFonts w:hint="default" w:ascii="仿宋_GB2312" w:hAnsi="仿宋_GB2312" w:cs="仿宋_GB2312"/>
          <w:lang w:val="en-US" w:eastAsia="zh-CN"/>
        </w:rPr>
        <w:t>服务方案、项目实施方案等。</w:t>
      </w:r>
    </w:p>
    <w:p>
      <w:pPr>
        <w:pStyle w:val="6"/>
        <w:numPr>
          <w:ilvl w:val="0"/>
          <w:numId w:val="0"/>
        </w:numPr>
        <w:ind w:leftChars="0" w:firstLine="640" w:firstLineChars="200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2.</w:t>
      </w:r>
      <w:r>
        <w:rPr>
          <w:rFonts w:hint="default" w:ascii="仿宋_GB2312" w:hAnsi="仿宋_GB2312" w:cs="仿宋_GB2312"/>
          <w:lang w:val="en-US" w:eastAsia="zh-CN"/>
        </w:rPr>
        <w:t>潜在供应商应详细描述服务人员的组成、资质及各自职责的划分。投标人应配置有经验的</w:t>
      </w:r>
      <w:r>
        <w:rPr>
          <w:rFonts w:hint="eastAsia" w:ascii="仿宋_GB2312" w:hAnsi="仿宋_GB2312" w:cs="仿宋_GB2312"/>
          <w:lang w:val="en-US" w:eastAsia="zh-CN"/>
        </w:rPr>
        <w:t>测试、实施</w:t>
      </w:r>
      <w:r>
        <w:rPr>
          <w:rFonts w:hint="default" w:ascii="仿宋_GB2312" w:hAnsi="仿宋_GB2312" w:cs="仿宋_GB2312"/>
          <w:lang w:val="en-US" w:eastAsia="zh-CN"/>
        </w:rPr>
        <w:t>人员进行本次</w:t>
      </w:r>
      <w:r>
        <w:rPr>
          <w:rFonts w:hint="eastAsia" w:ascii="仿宋_GB2312" w:hAnsi="仿宋_GB2312" w:cs="仿宋_GB2312"/>
          <w:lang w:val="en-US" w:eastAsia="zh-CN"/>
        </w:rPr>
        <w:t>全预约平台建设</w:t>
      </w:r>
      <w:r>
        <w:rPr>
          <w:rFonts w:hint="default" w:ascii="仿宋_GB2312" w:hAnsi="仿宋_GB2312" w:cs="仿宋_GB2312"/>
          <w:lang w:val="en-US" w:eastAsia="zh-CN"/>
        </w:rPr>
        <w:t>工作。</w:t>
      </w: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（四）项目交付文档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项目实施过程及完成后，应向采购人提交包含但不限于以下的文档：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全预约平台建设</w:t>
      </w:r>
      <w:r>
        <w:rPr>
          <w:rFonts w:hint="default" w:ascii="仿宋_GB2312" w:hAnsi="仿宋_GB2312" w:cs="仿宋_GB2312"/>
          <w:lang w:val="en-US" w:eastAsia="zh-CN"/>
        </w:rPr>
        <w:t>方案》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全预约平台需求调研表</w:t>
      </w:r>
      <w:r>
        <w:rPr>
          <w:rFonts w:hint="default" w:ascii="仿宋_GB2312" w:hAnsi="仿宋_GB2312" w:cs="仿宋_GB2312"/>
          <w:lang w:val="en-US" w:eastAsia="zh-CN"/>
        </w:rPr>
        <w:t>》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全预约平台实施计划书</w:t>
      </w:r>
      <w:r>
        <w:rPr>
          <w:rFonts w:hint="default" w:ascii="仿宋_GB2312" w:hAnsi="仿宋_GB2312" w:cs="仿宋_GB2312"/>
          <w:lang w:val="en-US" w:eastAsia="zh-CN"/>
        </w:rPr>
        <w:t>》</w:t>
      </w:r>
    </w:p>
    <w:p>
      <w:pPr>
        <w:pStyle w:val="6"/>
        <w:numPr>
          <w:ilvl w:val="0"/>
          <w:numId w:val="0"/>
        </w:numPr>
        <w:rPr>
          <w:rFonts w:hint="default" w:ascii="仿宋_GB2312" w:hAnsi="仿宋_GB2312" w:cs="仿宋_GB2312"/>
          <w:lang w:val="en-US" w:eastAsia="zh-CN"/>
        </w:rPr>
      </w:pP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全预约平台风险管理表</w:t>
      </w:r>
      <w:r>
        <w:rPr>
          <w:rFonts w:hint="default" w:ascii="仿宋_GB2312" w:hAnsi="仿宋_GB2312" w:cs="仿宋_GB2312"/>
          <w:lang w:val="en-US" w:eastAsia="zh-CN"/>
        </w:rPr>
        <w:t>》</w:t>
      </w:r>
    </w:p>
    <w:p>
      <w:pPr>
        <w:pStyle w:val="6"/>
        <w:numPr>
          <w:ilvl w:val="0"/>
          <w:numId w:val="0"/>
        </w:numPr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《全预约平台需求变更统计表》</w:t>
      </w:r>
    </w:p>
    <w:p>
      <w:pPr>
        <w:pStyle w:val="6"/>
        <w:numPr>
          <w:ilvl w:val="0"/>
          <w:numId w:val="0"/>
        </w:numPr>
        <w:rPr>
          <w:rStyle w:val="5"/>
          <w:rFonts w:hint="eastAsia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注：</w:t>
      </w: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全预约平台建设方案</w:t>
      </w:r>
      <w:r>
        <w:rPr>
          <w:rFonts w:hint="default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cs="仿宋_GB2312"/>
          <w:lang w:val="en-US" w:eastAsia="zh-CN"/>
        </w:rPr>
        <w:t>、</w:t>
      </w: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全预约平台需求调研表</w:t>
      </w:r>
      <w:r>
        <w:rPr>
          <w:rFonts w:hint="default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cs="仿宋_GB2312"/>
          <w:lang w:val="en-US" w:eastAsia="zh-CN"/>
        </w:rPr>
        <w:t>、</w:t>
      </w: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全预约平台实施计划书</w:t>
      </w:r>
      <w:r>
        <w:rPr>
          <w:rFonts w:hint="default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cs="仿宋_GB2312"/>
          <w:lang w:val="en-US" w:eastAsia="zh-CN"/>
        </w:rPr>
        <w:t>应在正式实施建设前提交，</w:t>
      </w:r>
      <w:r>
        <w:rPr>
          <w:rFonts w:hint="default" w:ascii="仿宋_GB2312" w:hAnsi="仿宋_GB2312" w:cs="仿宋_GB2312"/>
          <w:lang w:val="en-US" w:eastAsia="zh-CN"/>
        </w:rPr>
        <w:t>《</w:t>
      </w:r>
      <w:r>
        <w:rPr>
          <w:rFonts w:hint="eastAsia" w:ascii="仿宋_GB2312" w:hAnsi="仿宋_GB2312" w:cs="仿宋_GB2312"/>
          <w:lang w:val="en-US" w:eastAsia="zh-CN"/>
        </w:rPr>
        <w:t>全预约平台风险管理表</w:t>
      </w:r>
      <w:r>
        <w:rPr>
          <w:rFonts w:hint="default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cs="仿宋_GB2312"/>
          <w:lang w:val="en-US" w:eastAsia="zh-CN"/>
        </w:rPr>
        <w:t>应在实施建设中提交，《全预约平台需求变更统计表》应在软件上线后提交。</w:t>
      </w:r>
    </w:p>
    <w:p/>
    <w:sectPr>
      <w:pgSz w:w="11906" w:h="16838"/>
      <w:pgMar w:top="2098" w:right="136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0800BF"/>
    <w:multiLevelType w:val="multilevel"/>
    <w:tmpl w:val="CA0800B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709" w:hanging="567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 w:ascii="方正黑体_GBK" w:hAnsi="方正黑体_GBK" w:eastAsia="方正黑体_GBK" w:cs="方正仿宋_GBK"/>
      </w:rPr>
    </w:lvl>
    <w:lvl w:ilvl="3" w:tentative="0">
      <w:start w:val="1"/>
      <w:numFmt w:val="decimal"/>
      <w:isLgl/>
      <w:lvlText w:val="%1.%2.%3.%4."/>
      <w:lvlJc w:val="left"/>
      <w:pPr>
        <w:ind w:left="1276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D4220"/>
    <w:rsid w:val="31B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50" w:beforeLines="50" w:after="50" w:afterLines="50"/>
      <w:ind w:left="567" w:firstLineChars="0"/>
      <w:outlineLvl w:val="1"/>
    </w:pPr>
    <w:rPr>
      <w:rFonts w:ascii="方正黑体_GBK" w:hAnsi="方正黑体_GBK" w:eastAsia="方正黑体_GBK" w:cs="Times New Roman"/>
      <w:sz w:val="32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240"/>
      <w:jc w:val="left"/>
    </w:pPr>
    <w:rPr>
      <w:rFonts w:ascii="等线" w:eastAsia="等线"/>
      <w:smallCaps/>
      <w:sz w:val="20"/>
      <w:szCs w:val="20"/>
    </w:rPr>
  </w:style>
  <w:style w:type="paragraph" w:customStyle="1" w:styleId="6">
    <w:name w:val="主送单位"/>
    <w:basedOn w:val="7"/>
    <w:next w:val="7"/>
    <w:qFormat/>
    <w:uiPriority w:val="0"/>
    <w:pPr>
      <w:ind w:firstLine="0" w:firstLineChars="0"/>
      <w:outlineLvl w:val="1"/>
    </w:pPr>
    <w:rPr>
      <w:rFonts w:ascii="Calibri" w:hAnsi="Calibri"/>
    </w:rPr>
  </w:style>
  <w:style w:type="paragraph" w:customStyle="1" w:styleId="7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8">
    <w:name w:val="00 -正文"/>
    <w:basedOn w:val="1"/>
    <w:qFormat/>
    <w:uiPriority w:val="0"/>
    <w:pPr>
      <w:widowControl/>
      <w:ind w:firstLine="0" w:firstLineChars="0"/>
    </w:pPr>
    <w:rPr>
      <w:rFonts w:ascii="宋体" w:hAnsi="宋体" w:cs="Times New Roman"/>
      <w:color w:val="3333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2024-06-12T06:58:00Z</dcterms:created>
  <dc:creator>Heliopolis</dc:creator>
  <cp:lastModifiedBy>Heliopolis</cp:lastModifiedBy>
  <dcterms:modified xsi:type="dcterms:W3CDTF">2024-06-12T07:00:50Z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016015A553154C95840E958626353CF8</vt:lpwstr>
  </property>
</Properties>
</file>