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内江市中医医院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DRG成本核算、项目成本核算项目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采购需求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</w:p>
    <w:p>
      <w:pPr>
        <w:pStyle w:val="6"/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一、项目概述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eastAsia="仿宋_GB2312" w:cstheme="minorBidi"/>
          <w:kern w:val="2"/>
          <w:sz w:val="32"/>
          <w:szCs w:val="24"/>
          <w:lang w:val="en-US" w:eastAsia="zh-CN" w:bidi="ar-SA"/>
        </w:rPr>
        <w:t>根据《公立医院成本核算指导手册》（国卫办财务函【2023】377号）文件要求，需在2025年底，实现三级医院开展医疗服务项目成本核算、病种成本核算、DRG成本核算；同时近年来公立医院收不抵支现象普遍，医院持续良性运营面临挑战，需强化内部效益管理</w:t>
      </w:r>
      <w:r>
        <w:rPr>
          <w:rFonts w:hint="eastAsia" w:cstheme="minorBidi"/>
          <w:kern w:val="2"/>
          <w:sz w:val="32"/>
          <w:szCs w:val="24"/>
          <w:lang w:val="en-US" w:eastAsia="zh-CN" w:bidi="ar-SA"/>
        </w:rPr>
        <w:t>，</w:t>
      </w:r>
      <w:r>
        <w:rPr>
          <w:rFonts w:hint="eastAsia" w:eastAsia="仿宋_GB2312" w:cstheme="minorBidi"/>
          <w:kern w:val="2"/>
          <w:sz w:val="32"/>
          <w:szCs w:val="24"/>
          <w:lang w:val="en-US" w:eastAsia="zh-CN" w:bidi="ar-SA"/>
        </w:rPr>
        <w:t>利用信息化手段进行成本数据的采集、归类、分摊、核算和分析，并结合运营管理目标，强化成本核算结果运用，构建成本控制指标体系，促进降本增效，为精细化运营管理和科学决策提供高质量成本数据支撑，提升单位内部管理水平和运行效率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Fonts w:hint="eastAsia" w:ascii="仿宋_GB2312" w:hAnsi="仿宋_GB2312" w:cs="仿宋_GB2312"/>
          <w:lang w:val="en-US" w:eastAsia="zh-CN"/>
        </w:rPr>
        <w:t>因此我院</w:t>
      </w:r>
      <w:r>
        <w:rPr>
          <w:rFonts w:hint="default" w:ascii="仿宋_GB2312" w:hAnsi="仿宋_GB2312" w:cs="仿宋_GB2312"/>
          <w:lang w:val="en-US" w:eastAsia="zh-CN"/>
        </w:rPr>
        <w:t>拟</w:t>
      </w:r>
      <w:r>
        <w:rPr>
          <w:rFonts w:hint="eastAsia" w:ascii="仿宋_GB2312" w:hAnsi="仿宋_GB2312" w:cs="仿宋_GB2312"/>
          <w:lang w:val="en-US" w:eastAsia="zh-CN"/>
        </w:rPr>
        <w:t>建设DRG成本核算、项目成本核算系统</w:t>
      </w:r>
      <w:r>
        <w:rPr>
          <w:rFonts w:hint="default" w:ascii="仿宋_GB2312" w:hAnsi="仿宋_GB2312" w:cs="仿宋_GB2312"/>
          <w:lang w:val="en-US" w:eastAsia="zh-CN"/>
        </w:rPr>
        <w:t>。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二、采购项目标的清单、预算、时间、时限</w:t>
      </w:r>
    </w:p>
    <w:p>
      <w:pPr>
        <w:pStyle w:val="6"/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（一）采购项目清单：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11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需求软件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科室成本核算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诊次成本核算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床日成本核算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医疗服务项目成本核算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病种成本核算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DRG成本核算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成本报告和成本控制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或云服务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（二）采购预算：</w:t>
      </w:r>
      <w:r>
        <w:rPr>
          <w:rFonts w:hint="eastAsia" w:ascii="仿宋_GB2312" w:hAnsi="仿宋_GB2312" w:cs="仿宋_GB2312"/>
          <w:lang w:val="en-US" w:eastAsia="zh-CN"/>
        </w:rPr>
        <w:t>10</w:t>
      </w:r>
      <w:bookmarkStart w:id="24" w:name="_GoBack"/>
      <w:bookmarkEnd w:id="24"/>
      <w:r>
        <w:rPr>
          <w:rFonts w:hint="eastAsia" w:ascii="仿宋_GB2312" w:hAnsi="仿宋_GB2312" w:cs="仿宋_GB2312"/>
          <w:lang w:val="en-US" w:eastAsia="zh-CN"/>
        </w:rPr>
        <w:t>0万元内</w:t>
      </w:r>
    </w:p>
    <w:p>
      <w:pPr>
        <w:pStyle w:val="7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（三）采购时间：</w:t>
      </w:r>
      <w:r>
        <w:rPr>
          <w:rFonts w:hint="eastAsia" w:ascii="仿宋_GB2312" w:hAnsi="仿宋_GB2312" w:cs="仿宋_GB2312"/>
          <w:lang w:val="en-US" w:eastAsia="zh-CN"/>
        </w:rPr>
        <w:t>预计2024年8至12月份</w:t>
      </w:r>
    </w:p>
    <w:p>
      <w:pPr>
        <w:pStyle w:val="7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6"/>
        <w:numPr>
          <w:numId w:val="0"/>
        </w:numPr>
        <w:ind w:left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（四）项目完成时限：</w:t>
      </w:r>
      <w:r>
        <w:rPr>
          <w:rFonts w:hint="eastAsia" w:ascii="仿宋_GB2312" w:hAnsi="仿宋_GB2312" w:cs="仿宋_GB2312"/>
          <w:lang w:val="en-US" w:eastAsia="zh-CN"/>
        </w:rPr>
        <w:t>合同签订后90天内</w:t>
      </w:r>
    </w:p>
    <w:p>
      <w:pPr>
        <w:pStyle w:val="7"/>
        <w:numPr>
          <w:numId w:val="0"/>
        </w:num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注：以最终发布的采购公告及采购文件为准</w:t>
      </w:r>
    </w:p>
    <w:p>
      <w:pPr>
        <w:pStyle w:val="7"/>
        <w:rPr>
          <w:rFonts w:hint="default"/>
          <w:lang w:val="en-US" w:eastAsia="zh-CN"/>
        </w:rPr>
      </w:pPr>
    </w:p>
    <w:p>
      <w:pPr>
        <w:pStyle w:val="6"/>
        <w:numPr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三、技术要求：</w:t>
      </w:r>
    </w:p>
    <w:p>
      <w:pPr>
        <w:pStyle w:val="7"/>
        <w:numPr>
          <w:numId w:val="0"/>
        </w:numPr>
        <w:rPr>
          <w:rFonts w:hint="eastAsia"/>
          <w:lang w:val="en-US" w:eastAsia="zh-CN"/>
        </w:rPr>
      </w:pPr>
    </w:p>
    <w:p>
      <w:pPr>
        <w:pStyle w:val="6"/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（一）满足《公立医院成本核算指导手册》（国卫办财务函【2023】377号）文件要求</w:t>
      </w:r>
    </w:p>
    <w:p>
      <w:pPr>
        <w:pStyle w:val="7"/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业务功能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：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①成本数据采集、控制和基础信息配置。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数据采集:包括费用数据、收人数据、工作量数据,以及其他相关来源数据信息的采集,提供标准数据采集格式,制定数据采集标准和接口程序等。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数据控制:制定成本数据的校验标准和清洗标准,保证数据准确性。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基础配置:包括各类基础字典和分摊参数的配置。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②成本数据归集: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将纳入成本核算范围的成本数据按照成本核算单元进行归集。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③成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分摊: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着相关性,成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效益关系及重要性等原则,实现间接成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分摊。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④成本核算: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根据医院实际需求实现科室成本核算,床日成本核算,诊次成本核算、医疗服务项目成本核算、病种成本核算、DRG成本核算等。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⑤成本分析: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根据医院实际需求实现比较分析、趋势分析、结构分析、因素分析、本量利分析等。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⑥成本报表:</w:t>
      </w:r>
    </w:p>
    <w:p>
      <w:pPr>
        <w:pStyle w:val="7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根据医院实际需求实现科室成本报表、诊次成本报表、床日成本报表、项目成本报表、病种成本报表、DRG成本报表等。</w:t>
      </w:r>
    </w:p>
    <w:p>
      <w:pPr>
        <w:pStyle w:val="7"/>
        <w:numPr>
          <w:numId w:val="0"/>
        </w:numP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信息平台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：</w:t>
      </w:r>
    </w:p>
    <w:p>
      <w:pPr>
        <w:pStyle w:val="7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与医院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集成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平台实现标准的数据交换、共享管理和应用服务。</w:t>
      </w:r>
    </w:p>
    <w:p>
      <w:pPr>
        <w:pStyle w:val="7"/>
        <w:numPr>
          <w:numId w:val="0"/>
        </w:numP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基础设施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：</w:t>
      </w:r>
    </w:p>
    <w:p>
      <w:pPr>
        <w:pStyle w:val="7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基础设施建设与安全防护满足医院信息化建设的标准与规范。</w:t>
      </w:r>
    </w:p>
    <w:p>
      <w:pPr>
        <w:pStyle w:val="7"/>
        <w:numPr>
          <w:numId w:val="0"/>
        </w:numP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新兴技术</w:t>
      </w:r>
      <w:r>
        <w:rPr>
          <w:rFonts w:hint="eastAsia" w:ascii="仿宋_GB2312" w:hAnsi="仿宋_GB2312" w:cs="仿宋_GB2312"/>
          <w:smallCaps/>
          <w:kern w:val="2"/>
          <w:sz w:val="32"/>
          <w:szCs w:val="24"/>
          <w:lang w:val="en-US" w:eastAsia="zh-CN" w:bidi="ar-SA"/>
        </w:rPr>
        <w:t>：</w:t>
      </w:r>
    </w:p>
    <w:p>
      <w:pPr>
        <w:pStyle w:val="7"/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根据医院实际需求探索新兴技术如大数据技术、云计算技术,人工智能技术、物联网技术在成本管理中的应用。</w:t>
      </w:r>
    </w:p>
    <w:p>
      <w:pPr>
        <w:pStyle w:val="6"/>
        <w:numPr>
          <w:ilvl w:val="0"/>
          <w:numId w:val="0"/>
        </w:numPr>
        <w:rPr>
          <w:rFonts w:hint="default" w:ascii="仿宋_GB2312" w:hAnsi="仿宋_GB2312" w:cs="仿宋_GB2312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（二）项目建设保障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1.</w:t>
      </w:r>
      <w:bookmarkStart w:id="0" w:name="_Toc32073245"/>
      <w:bookmarkStart w:id="1" w:name="_Toc13151354"/>
      <w:bookmarkStart w:id="2" w:name="_Toc34935001"/>
      <w:bookmarkStart w:id="3" w:name="_Toc36568082"/>
      <w:bookmarkStart w:id="4" w:name="_Toc532823856"/>
      <w:bookmarkStart w:id="5" w:name="_Toc169027706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系统安装集成服务</w:t>
      </w:r>
      <w:bookmarkEnd w:id="0"/>
      <w:bookmarkEnd w:id="1"/>
      <w:bookmarkEnd w:id="2"/>
      <w:bookmarkEnd w:id="3"/>
      <w:bookmarkEnd w:id="4"/>
      <w:bookmarkEnd w:id="5"/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软件系统研发完成后，</w:t>
      </w: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需进行系统的安装、配置、基础数据填充、线上测试、性能调优等服务工作。硬件采购到货后，</w:t>
      </w: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需进行硬件设备的到货验收、设备安装、设备调试、设备接入、系统整体联调、设备数据上线测试等服务工作。</w:t>
      </w:r>
    </w:p>
    <w:p>
      <w:pPr>
        <w:pStyle w:val="2"/>
        <w:numPr>
          <w:ilvl w:val="1"/>
          <w:numId w:val="0"/>
        </w:numPr>
        <w:spacing w:before="156" w:after="156"/>
        <w:ind w:leftChars="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2.</w:t>
      </w:r>
      <w:bookmarkStart w:id="6" w:name="_Toc532823867"/>
      <w:bookmarkStart w:id="7" w:name="_Toc32073253"/>
      <w:bookmarkStart w:id="8" w:name="_Toc34935009"/>
      <w:bookmarkStart w:id="9" w:name="_Toc169027707"/>
      <w:bookmarkStart w:id="10" w:name="_Toc36568090"/>
      <w:bookmarkStart w:id="11" w:name="_Toc13151363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咨询、管理变革服务</w:t>
      </w:r>
      <w:bookmarkEnd w:id="6"/>
      <w:bookmarkEnd w:id="7"/>
      <w:bookmarkEnd w:id="8"/>
      <w:bookmarkEnd w:id="9"/>
      <w:bookmarkEnd w:id="10"/>
      <w:bookmarkEnd w:id="11"/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按照统一规划、分步实施的建设原则，</w:t>
      </w: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与院方一起确定项目的战略目标，并通过管理咨询的流程管理和分析、信息架构、应用系统分析和设计、技术架构、项目管理和实施等分析工具，从战略目标到业务目标，从业务目标到IT目标，从IT目标到应用蓝图，从应用蓝图到分阶段实施逐一分解落实，解决信息化建设普遍存在的目标不清、路径不明的问题，为更加系统化、规范化地推进工作提供有力支撑。</w:t>
      </w:r>
    </w:p>
    <w:p>
      <w:pPr>
        <w:pStyle w:val="2"/>
        <w:numPr>
          <w:ilvl w:val="1"/>
          <w:numId w:val="0"/>
        </w:numPr>
        <w:spacing w:before="156" w:after="156"/>
        <w:ind w:leftChars="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bookmarkStart w:id="12" w:name="_Toc169027710"/>
      <w:bookmarkStart w:id="13" w:name="_Toc532823870"/>
      <w:bookmarkStart w:id="14" w:name="_Toc36568093"/>
      <w:bookmarkStart w:id="15" w:name="_Toc32073256"/>
      <w:bookmarkStart w:id="16" w:name="_Toc13151366"/>
      <w:bookmarkStart w:id="17" w:name="_Toc34935012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3.培训服务</w:t>
      </w:r>
      <w:bookmarkEnd w:id="12"/>
      <w:bookmarkEnd w:id="13"/>
      <w:bookmarkEnd w:id="14"/>
      <w:bookmarkEnd w:id="15"/>
      <w:bookmarkEnd w:id="16"/>
      <w:bookmarkEnd w:id="17"/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本项目的最终用户包括医院行政后勤人员和临床医务人员。各层次工作人员的业务能力差距较大，为确保项目的建设能真正服务于业务与管理，需要建设一支业务综合素质过硬的中坚力量。</w:t>
      </w:r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需通过对不同层次工作人员进行培训，提升医院工作人员自身业务能力和操作人员的业务水平，增强严格履行岗位职责的能力，提升工作效率。</w:t>
      </w:r>
    </w:p>
    <w:p>
      <w:pPr>
        <w:pStyle w:val="8"/>
        <w:numPr>
          <w:ilvl w:val="0"/>
          <w:numId w:val="0"/>
        </w:numP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bookmarkStart w:id="18" w:name="_Toc13151367"/>
      <w:bookmarkStart w:id="19" w:name="_Toc34935013"/>
      <w:bookmarkStart w:id="20" w:name="_Toc532823871"/>
      <w:bookmarkStart w:id="21" w:name="_Toc32073257"/>
      <w:bookmarkStart w:id="22" w:name="_Toc169027711"/>
      <w:bookmarkStart w:id="23" w:name="_Toc36568094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4.运行保障服务</w:t>
      </w:r>
      <w:bookmarkEnd w:id="18"/>
      <w:bookmarkEnd w:id="19"/>
      <w:bookmarkEnd w:id="20"/>
      <w:bookmarkEnd w:id="21"/>
      <w:bookmarkEnd w:id="22"/>
      <w:bookmarkEnd w:id="23"/>
    </w:p>
    <w:p>
      <w:pPr>
        <w:pStyle w:val="8"/>
        <w:ind w:firstLine="640" w:firstLineChars="200"/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在本次项目的运维范围内，应针对项目的整体特性和使用要求，要提供高质量的运维管理服务，做到“响应快速、程序规范、分工合理、职责明确、服务到位、支持有力”，确保系统的正常运行和使用管理制度及程序的规范化，为整个系统提供切实可行的技术保障。系统上线前需进行安全测试。</w:t>
      </w:r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在整个运维服务周期内，要建立完善的沟通协调机制，及时提供运维服务的各种报告，包括运维服务日志、重大故障维修报告、故障总结报告、系统管理报告、系统维护报告等。</w:t>
      </w:r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</w:p>
    <w:p>
      <w:pPr>
        <w:pStyle w:val="6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（三）项目实施要求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default" w:ascii="仿宋_GB2312" w:hAnsi="仿宋_GB2312" w:cs="仿宋_GB2312"/>
          <w:lang w:val="en-US" w:eastAsia="zh-CN"/>
        </w:rPr>
        <w:t>潜在供应商应详细描述本次项目整体实施方案，包括项目概述、</w:t>
      </w:r>
      <w:r>
        <w:rPr>
          <w:rFonts w:hint="eastAsia" w:ascii="仿宋_GB2312" w:hAnsi="仿宋_GB2312" w:cs="仿宋_GB2312"/>
          <w:lang w:val="en-US" w:eastAsia="zh-CN"/>
        </w:rPr>
        <w:t>项目</w:t>
      </w:r>
      <w:r>
        <w:rPr>
          <w:rFonts w:hint="default" w:ascii="仿宋_GB2312" w:hAnsi="仿宋_GB2312" w:cs="仿宋_GB2312"/>
          <w:lang w:val="en-US" w:eastAsia="zh-CN"/>
        </w:rPr>
        <w:t>服务方案、项目实施方案等。</w:t>
      </w:r>
    </w:p>
    <w:p>
      <w:pPr>
        <w:pStyle w:val="6"/>
        <w:numPr>
          <w:ilvl w:val="0"/>
          <w:numId w:val="0"/>
        </w:numPr>
        <w:ind w:leftChars="0"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default" w:ascii="仿宋_GB2312" w:hAnsi="仿宋_GB2312" w:cs="仿宋_GB2312"/>
          <w:lang w:val="en-US" w:eastAsia="zh-CN"/>
        </w:rPr>
        <w:t>潜在供应商应详细描述服务人员的组成、资质及各自职责的划分。投标人应配置有经验的</w:t>
      </w:r>
      <w:r>
        <w:rPr>
          <w:rFonts w:hint="eastAsia" w:ascii="仿宋_GB2312" w:hAnsi="仿宋_GB2312" w:cs="仿宋_GB2312"/>
          <w:lang w:val="en-US" w:eastAsia="zh-CN"/>
        </w:rPr>
        <w:t>测试、实施</w:t>
      </w:r>
      <w:r>
        <w:rPr>
          <w:rFonts w:hint="default" w:ascii="仿宋_GB2312" w:hAnsi="仿宋_GB2312" w:cs="仿宋_GB2312"/>
          <w:lang w:val="en-US" w:eastAsia="zh-CN"/>
        </w:rPr>
        <w:t>人员进行本次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DRG成本核算、项目成本核算系统建设</w:t>
      </w:r>
      <w:r>
        <w:rPr>
          <w:rFonts w:hint="default" w:ascii="仿宋_GB2312" w:hAnsi="仿宋_GB2312" w:cs="仿宋_GB2312"/>
          <w:lang w:val="en-US" w:eastAsia="zh-CN"/>
        </w:rPr>
        <w:t>工作。</w:t>
      </w: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（四）项目交付文档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项目实施过程及完成后，应向采购人提交包含但不限于以下的文档：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DRG成本核算、项目成本核算系统建设</w:t>
      </w:r>
      <w:r>
        <w:rPr>
          <w:rFonts w:hint="default" w:ascii="仿宋_GB2312" w:hAnsi="仿宋_GB2312" w:cs="仿宋_GB2312"/>
          <w:lang w:val="en-US" w:eastAsia="zh-CN"/>
        </w:rPr>
        <w:t>方案》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DRG成本核算、项目成本核算系统需求调研表</w:t>
      </w:r>
      <w:r>
        <w:rPr>
          <w:rFonts w:hint="default" w:ascii="仿宋_GB2312" w:hAnsi="仿宋_GB2312" w:cs="仿宋_GB2312"/>
          <w:lang w:val="en-US" w:eastAsia="zh-CN"/>
        </w:rPr>
        <w:t>》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DRG成本核算、项目成本核算系统实施计划书</w:t>
      </w:r>
      <w:r>
        <w:rPr>
          <w:rFonts w:hint="default" w:ascii="仿宋_GB2312" w:hAnsi="仿宋_GB2312" w:cs="仿宋_GB2312"/>
          <w:lang w:val="en-US" w:eastAsia="zh-CN"/>
        </w:rPr>
        <w:t>》</w:t>
      </w:r>
    </w:p>
    <w:p>
      <w:pPr>
        <w:pStyle w:val="6"/>
        <w:numPr>
          <w:ilvl w:val="0"/>
          <w:numId w:val="0"/>
        </w:numPr>
        <w:rPr>
          <w:rFonts w:hint="default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DRG成本核算、项目成本核算系统风险管理表</w:t>
      </w:r>
      <w:r>
        <w:rPr>
          <w:rFonts w:hint="default" w:ascii="仿宋_GB2312" w:hAnsi="仿宋_GB2312" w:cs="仿宋_GB2312"/>
          <w:lang w:val="en-US" w:eastAsia="zh-CN"/>
        </w:rPr>
        <w:t>》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《DRG成本核算、项目成本核算系统需求变更统计表》</w:t>
      </w:r>
    </w:p>
    <w:p>
      <w:pPr>
        <w:pStyle w:val="6"/>
        <w:numPr>
          <w:ilvl w:val="0"/>
          <w:numId w:val="0"/>
        </w:numPr>
        <w:rPr>
          <w:rStyle w:val="5"/>
          <w:rFonts w:hint="eastAsia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注：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DRG成本核算、项目成本核算系统建设方案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、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DRG成本核算、项目成本核算系统需求调研表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、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DRG成本核算、项目成本核算系统实施计划书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应在正式实施建设前提交，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DRG成本核算、项目成本核算系统风险管理表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应在实施建设中提交，《DRG成本核算、项目成本核算系统需求变更统计表》应在软件上线后提交。</w:t>
      </w:r>
    </w:p>
    <w:p/>
    <w:sectPr>
      <w:pgSz w:w="11906" w:h="16838"/>
      <w:pgMar w:top="209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800BF"/>
    <w:multiLevelType w:val="multilevel"/>
    <w:tmpl w:val="CA0800B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709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 w:ascii="方正黑体_GBK" w:hAnsi="方正黑体_GBK" w:eastAsia="方正黑体_GBK" w:cs="方正仿宋_GBK"/>
      </w:rPr>
    </w:lvl>
    <w:lvl w:ilvl="3" w:tentative="0">
      <w:start w:val="1"/>
      <w:numFmt w:val="decimal"/>
      <w:isLgl/>
      <w:lvlText w:val="%1.%2.%3.%4."/>
      <w:lvlJc w:val="left"/>
      <w:pPr>
        <w:ind w:left="1276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4220"/>
    <w:rsid w:val="04D1566C"/>
    <w:rsid w:val="0615319A"/>
    <w:rsid w:val="07154822"/>
    <w:rsid w:val="111562A1"/>
    <w:rsid w:val="24264886"/>
    <w:rsid w:val="2F44456A"/>
    <w:rsid w:val="31BD4220"/>
    <w:rsid w:val="364B136E"/>
    <w:rsid w:val="37AF4558"/>
    <w:rsid w:val="382912A0"/>
    <w:rsid w:val="38F3029D"/>
    <w:rsid w:val="421A3816"/>
    <w:rsid w:val="5221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50" w:beforeLines="50" w:after="50" w:afterLines="50"/>
      <w:ind w:left="567" w:firstLineChars="0"/>
      <w:outlineLvl w:val="1"/>
    </w:pPr>
    <w:rPr>
      <w:rFonts w:ascii="方正黑体_GBK" w:hAnsi="方正黑体_GBK" w:eastAsia="方正黑体_GBK" w:cs="Times New Roman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240"/>
      <w:jc w:val="left"/>
    </w:pPr>
    <w:rPr>
      <w:rFonts w:ascii="等线" w:eastAsia="等线"/>
      <w:smallCaps/>
      <w:sz w:val="20"/>
      <w:szCs w:val="20"/>
    </w:rPr>
  </w:style>
  <w:style w:type="paragraph" w:customStyle="1" w:styleId="6">
    <w:name w:val="主送单位"/>
    <w:basedOn w:val="7"/>
    <w:next w:val="7"/>
    <w:qFormat/>
    <w:uiPriority w:val="0"/>
    <w:pPr>
      <w:ind w:firstLine="0" w:firstLineChars="0"/>
      <w:outlineLvl w:val="1"/>
    </w:pPr>
    <w:rPr>
      <w:rFonts w:ascii="Calibri" w:hAnsi="Calibri"/>
    </w:rPr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8">
    <w:name w:val="00 -正文"/>
    <w:basedOn w:val="1"/>
    <w:qFormat/>
    <w:uiPriority w:val="0"/>
    <w:pPr>
      <w:widowControl/>
      <w:ind w:firstLine="0" w:firstLineChars="0"/>
    </w:pPr>
    <w:rPr>
      <w:rFonts w:ascii="宋体" w:hAnsi="宋体" w:cs="Times New Roman"/>
      <w:color w:val="3333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2024-06-12T06:58:00Z</dcterms:created>
  <dc:creator>Heliopolis</dc:creator>
  <cp:lastModifiedBy>Heliopolis</cp:lastModifiedBy>
  <cp:lastPrinted>2024-06-17T00:43:23Z</cp:lastPrinted>
  <dcterms:modified xsi:type="dcterms:W3CDTF">2024-06-17T01:40:13Z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016015A553154C95840E958626353CF8</vt:lpwstr>
  </property>
</Properties>
</file>