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电子招采平台系统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项目采购需求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>
      <w:pPr>
        <w:pStyle w:val="14"/>
        <w:numPr>
          <w:ilvl w:val="0"/>
          <w:numId w:val="0"/>
        </w:numPr>
        <w:ind w:firstLine="0" w:firstLineChars="0"/>
        <w:rPr>
          <w:rFonts w:hint="eastAsia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一、项目概述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210" w:leftChars="0" w:firstLine="42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项目背景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《国务院办公厅关于推动公立医院高质量发展的意见》（国办发〔2021〕18号）指出，公立医院运行模式需要从粗放管理转向精细化管理。采购管理作为医院运营管理的基础性工作，对医院的高质量发展具有举足轻重的作用。在“粗放式管理”向“精益化管理”转变的过程中，医院采购管理，面临一系列问题和挑战：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在各种不确定性因素的冲击下，保障医院物资供应的稳定和韧性，并适度降低采购成本。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加强采购管理与医院临床业务的衔接，更有效的满足临床业务实际需求。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改变以经验为主的管理决策方式，建立采购与供应链全流程的数据运行体系。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加强医院采购廉洁监管手段，提高医院采购腐败治理水平，降低医院招标采购业务风险。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基于以上背景，医院拟开发建设一套数字化采购管理系统，助力医院应对上述问题和挑战。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210" w:leftChars="0" w:firstLine="42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项目需求内容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目前我院存在采购流程仍以人工操作为主，缺乏全流程数字化管理；供应商管理、采购过程控制等环节信息化程度不足；数据孤岛现象存在，与医院其他信息系统整合度不高等问题。此外，在核心管理环节还存在以下短板：一是采购立项与专家评标管理不完善，采购立项缺乏标准化流程，立项材料提交不规范、审批依据不明确，易出现与预算脱节、不符合医院发展需求的情况，且专家评标未实现盲评，易受供应商身份、品牌等非核心因素干扰，难以保障评标公平性；二是采购信息系统模块覆盖不全面，现有管理模式未形成预算、采购、合同、供应、资产、支付的全链条信息化管控，各环节数据分散在人工台账或独立小系统中，如预算执行数据无法实时同步至采购环节、资产验收信息与合同履约情况脱节、支付环节需人工核对多环节资料，导致管理效率低、风险管控存在漏洞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推动采购管理数字化转型，覆盖采购立项、需求申请、采购过程、合同管理、供应管控、资产管理、支付结算到档案归档的全流程，减少人工干预，提升整体效率；引入智慧化采购管理信息化系统，保障评标过程公平公正，提升评标结果科学性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构建全模块覆盖的采购信息系统，包含预算管理、采购管理、合同管理、供应管理、资产管理、支付管理六大核心模块，实现各模块数据互联互通，打破信息孤岛，形成 “预算 - 采购 - 合同 - 供应 - 资产 - 支付” 闭环管控。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建立完善采购内控智慧化信息化智能化系统，将采购过程数字化监管纳入智慧医疗建设内容，针对采购过程中的价格异常、流程异常、立项不合规、评标不公正、模块数据不通等问题建立系统自动预警机制，实现全流程识别采购管理风险，推动监管模式由被动监管向主动监管转变、由 “事后追责” 向 “事前预防” 转变。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系统需提供数据分析功能，自动生成各类报表，帮助医院管理层优化采购策略、控制成本；与医院现有的企业微信、医院官网、电子签章、财务预算等系统无缝集成，实现数据共享；具备严谨的权限管理、角色管理，保障数据安全；支持移动端操作，方便采购人员随时随地处理采购事务，提升工作效率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通过智慧化数字+AI手段，医院可实现采购流程的自动化、透明化和可追溯性，规范全模块管理与关键环节管控，提升整体采购管理水平，降低采购成本，为医院智慧化建设提供必要支撑。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（1）平台门户与用户中心（供应商、科室、采购、财务、纪检、监督）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（2）采购需求与预算管理、立项审批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（3）全流程电子招投标（公告、文件、投标、开标、评标、定标、公示）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（4）多采购方式支撑（公开招标、邀请招标、竞争性磋商 / 谈判、询价、单一来源、院内比选）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（5）供应商管理与信用评价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（6）合同管理与履约验收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（7）价格监测与智能比价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（8）大数据分析与决策看板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（9）安全体系（CA、加密、日志、审计、备份）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（10）系统集成接口与移动端</w:t>
      </w:r>
    </w:p>
    <w:p>
      <w:pPr>
        <w:pStyle w:val="14"/>
        <w:numPr>
          <w:ilvl w:val="0"/>
          <w:numId w:val="0"/>
        </w:numPr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二、</w:t>
      </w:r>
      <w:r>
        <w:rPr>
          <w:rFonts w:hint="default" w:ascii="仿宋_GB2312" w:hAnsi="仿宋_GB2312" w:cs="仿宋_GB2312"/>
          <w:lang w:val="en-US" w:eastAsia="zh-CN"/>
        </w:rPr>
        <w:t>采购项目标的清单</w:t>
      </w:r>
      <w:r>
        <w:rPr>
          <w:rFonts w:hint="eastAsia" w:ascii="仿宋_GB2312" w:hAnsi="仿宋_GB2312" w:cs="仿宋_GB2312"/>
          <w:lang w:val="en-US" w:eastAsia="zh-CN"/>
        </w:rPr>
        <w:t>、预算、时间、时限</w:t>
      </w:r>
    </w:p>
    <w:p>
      <w:pPr>
        <w:pStyle w:val="14"/>
        <w:numPr>
          <w:ilvl w:val="0"/>
          <w:numId w:val="3"/>
        </w:numPr>
        <w:ind w:left="0" w:leftChars="0" w:firstLine="420" w:firstLineChars="0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采购项目清单：</w:t>
      </w:r>
    </w:p>
    <w:tbl>
      <w:tblPr>
        <w:tblStyle w:val="9"/>
        <w:tblW w:w="87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970"/>
        <w:gridCol w:w="1276"/>
        <w:gridCol w:w="851"/>
        <w:gridCol w:w="183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计量单位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电子招采平台系统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包含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软件定制、硬件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及服务器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与网络、安全、集成、实施、培训、运维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接口费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的费用。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 w:firstLine="24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00" w:hRule="atLeast"/>
          <w:jc w:val="center"/>
        </w:trPr>
        <w:tc>
          <w:tcPr>
            <w:tcW w:w="7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32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14"/>
        <w:numPr>
          <w:ilvl w:val="0"/>
          <w:numId w:val="3"/>
        </w:numPr>
        <w:ind w:left="0" w:leftChars="0" w:firstLine="420" w:firstLineChars="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采购预算：100万元内</w:t>
      </w:r>
    </w:p>
    <w:p>
      <w:pPr>
        <w:pStyle w:val="15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14"/>
        <w:numPr>
          <w:ilvl w:val="0"/>
          <w:numId w:val="3"/>
        </w:numPr>
        <w:ind w:left="0" w:leftChars="0" w:firstLine="420" w:firstLineChars="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采购时间：预计2027年6月至12月</w:t>
      </w:r>
    </w:p>
    <w:p>
      <w:pPr>
        <w:pStyle w:val="15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14"/>
        <w:numPr>
          <w:ilvl w:val="0"/>
          <w:numId w:val="3"/>
        </w:numPr>
        <w:ind w:left="0" w:leftChars="0" w:firstLine="420" w:firstLineChars="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项目完成时限：合同签订后180天内</w:t>
      </w:r>
    </w:p>
    <w:p>
      <w:pPr>
        <w:pStyle w:val="15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14"/>
        <w:numPr>
          <w:ilvl w:val="0"/>
          <w:numId w:val="0"/>
        </w:numPr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注：以最终发布的采购公告及采购文件为准</w:t>
      </w:r>
    </w:p>
    <w:p>
      <w:pPr>
        <w:pStyle w:val="15"/>
        <w:rPr>
          <w:rFonts w:hint="default"/>
          <w:lang w:val="en-US" w:eastAsia="zh-CN"/>
        </w:rPr>
      </w:pPr>
    </w:p>
    <w:p>
      <w:pPr>
        <w:pStyle w:val="14"/>
        <w:numPr>
          <w:ilvl w:val="0"/>
          <w:numId w:val="4"/>
        </w:numPr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技术要求：</w:t>
      </w:r>
    </w:p>
    <w:p>
      <w:pPr>
        <w:pStyle w:val="14"/>
        <w:numPr>
          <w:ilvl w:val="0"/>
          <w:numId w:val="5"/>
        </w:numPr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技术目标</w:t>
      </w:r>
    </w:p>
    <w:p>
      <w:pPr>
        <w:pStyle w:val="14"/>
        <w:widowControl w:val="0"/>
        <w:numPr>
          <w:ilvl w:val="0"/>
          <w:numId w:val="6"/>
        </w:numPr>
        <w:spacing w:line="580" w:lineRule="exact"/>
        <w:ind w:left="105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软件的功能、性能、易用性、兼容性、可靠性、健壮性等及支持自主创新的目标</w:t>
      </w:r>
    </w:p>
    <w:p>
      <w:pPr>
        <w:pStyle w:val="14"/>
        <w:widowControl w:val="0"/>
        <w:numPr>
          <w:ilvl w:val="0"/>
          <w:numId w:val="7"/>
        </w:numPr>
        <w:spacing w:line="580" w:lineRule="exact"/>
        <w:ind w:left="42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功能性：满足科室提出的需求。</w:t>
      </w:r>
    </w:p>
    <w:p>
      <w:pPr>
        <w:pStyle w:val="14"/>
        <w:widowControl w:val="0"/>
        <w:numPr>
          <w:ilvl w:val="0"/>
          <w:numId w:val="7"/>
        </w:numPr>
        <w:spacing w:line="580" w:lineRule="exact"/>
        <w:ind w:left="42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性能：保证系统响应速度快，数据处理效率高，确保用户体验。</w:t>
      </w:r>
    </w:p>
    <w:p>
      <w:pPr>
        <w:pStyle w:val="14"/>
        <w:widowControl w:val="0"/>
        <w:numPr>
          <w:ilvl w:val="0"/>
          <w:numId w:val="7"/>
        </w:numPr>
        <w:spacing w:line="580" w:lineRule="exact"/>
        <w:ind w:left="42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易用性：设计简洁清晰的用户界面，提供直观的操作流程，使用户能够轻松上手使用系统。</w:t>
      </w:r>
    </w:p>
    <w:p>
      <w:pPr>
        <w:pStyle w:val="14"/>
        <w:widowControl w:val="0"/>
        <w:numPr>
          <w:ilvl w:val="0"/>
          <w:numId w:val="7"/>
        </w:numPr>
        <w:spacing w:line="580" w:lineRule="exact"/>
        <w:ind w:left="42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兼容性：确保系统能够在不同操作系统、不同终端设备上稳定运行。</w:t>
      </w:r>
    </w:p>
    <w:p>
      <w:pPr>
        <w:pStyle w:val="14"/>
        <w:widowControl w:val="0"/>
        <w:numPr>
          <w:ilvl w:val="0"/>
          <w:numId w:val="7"/>
        </w:numPr>
        <w:spacing w:line="580" w:lineRule="exact"/>
        <w:ind w:left="42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可靠性：系统稳定性高，能够长时间运行而不出现故障。</w:t>
      </w:r>
    </w:p>
    <w:p>
      <w:pPr>
        <w:pStyle w:val="14"/>
        <w:widowControl w:val="0"/>
        <w:numPr>
          <w:ilvl w:val="0"/>
          <w:numId w:val="7"/>
        </w:numPr>
        <w:spacing w:line="580" w:lineRule="exact"/>
        <w:ind w:left="42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健壮性：系统能够应对各种异常情况，保持稳定运行。</w:t>
      </w:r>
    </w:p>
    <w:p>
      <w:pPr>
        <w:pStyle w:val="14"/>
        <w:widowControl w:val="0"/>
        <w:numPr>
          <w:ilvl w:val="0"/>
          <w:numId w:val="6"/>
        </w:numPr>
        <w:spacing w:line="580" w:lineRule="exact"/>
        <w:ind w:left="105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网络、存储、主机、机房设备等硬件的性能、兼容性等及支持自主创新的目标</w:t>
      </w:r>
    </w:p>
    <w:p>
      <w:pPr>
        <w:pStyle w:val="14"/>
        <w:widowControl w:val="0"/>
        <w:numPr>
          <w:ilvl w:val="0"/>
          <w:numId w:val="8"/>
        </w:numPr>
        <w:spacing w:line="580" w:lineRule="exact"/>
        <w:ind w:left="42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网络：确保系统能够稳定运行在不同网络环境下，保证数据传输的安全和稳定性。</w:t>
      </w:r>
    </w:p>
    <w:p>
      <w:pPr>
        <w:pStyle w:val="14"/>
        <w:widowControl w:val="0"/>
        <w:numPr>
          <w:ilvl w:val="0"/>
          <w:numId w:val="8"/>
        </w:numPr>
        <w:spacing w:line="580" w:lineRule="exact"/>
        <w:ind w:left="42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存储：提供足够的数据存储空间，支持系统的数据管理和存储需求。</w:t>
      </w:r>
    </w:p>
    <w:p>
      <w:pPr>
        <w:pStyle w:val="14"/>
        <w:widowControl w:val="0"/>
        <w:numPr>
          <w:ilvl w:val="0"/>
          <w:numId w:val="8"/>
        </w:numPr>
        <w:spacing w:line="580" w:lineRule="exact"/>
        <w:ind w:left="42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主机：选择高性能的主机设备，确保系统能够稳定运行并处理大量的数据。</w:t>
      </w:r>
    </w:p>
    <w:p>
      <w:pPr>
        <w:pStyle w:val="14"/>
        <w:widowControl w:val="0"/>
        <w:numPr>
          <w:ilvl w:val="0"/>
          <w:numId w:val="8"/>
        </w:numPr>
        <w:spacing w:line="580" w:lineRule="exact"/>
        <w:ind w:left="42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机房设备：保证机房设备的稳定性和安全性，确保系统的正常运行。</w:t>
      </w:r>
    </w:p>
    <w:p>
      <w:pPr>
        <w:pStyle w:val="14"/>
        <w:widowControl w:val="0"/>
        <w:numPr>
          <w:ilvl w:val="0"/>
          <w:numId w:val="6"/>
        </w:numPr>
        <w:spacing w:line="580" w:lineRule="exact"/>
        <w:ind w:left="105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根据系统安全风险，依据相应安全等级保护要求在物理、网络、主机、应用、数据备份等方面及支持自主创新的目标</w:t>
      </w:r>
    </w:p>
    <w:p>
      <w:pPr>
        <w:pStyle w:val="14"/>
        <w:widowControl w:val="0"/>
        <w:numPr>
          <w:ilvl w:val="0"/>
          <w:numId w:val="9"/>
        </w:numPr>
        <w:spacing w:line="580" w:lineRule="exact"/>
        <w:ind w:left="42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物理安全：确保服务器等设备的物理安全，防止未经授权的访问和破坏。</w:t>
      </w:r>
    </w:p>
    <w:p>
      <w:pPr>
        <w:pStyle w:val="14"/>
        <w:widowControl w:val="0"/>
        <w:numPr>
          <w:ilvl w:val="0"/>
          <w:numId w:val="9"/>
        </w:numPr>
        <w:spacing w:line="580" w:lineRule="exact"/>
        <w:ind w:left="42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网络安全：建立网络安全防护体系，防范网络攻击和数据泄露。</w:t>
      </w:r>
    </w:p>
    <w:p>
      <w:pPr>
        <w:pStyle w:val="14"/>
        <w:widowControl w:val="0"/>
        <w:numPr>
          <w:ilvl w:val="0"/>
          <w:numId w:val="9"/>
        </w:numPr>
        <w:spacing w:line="580" w:lineRule="exact"/>
        <w:ind w:left="42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主机安全：加强主机设备的安全防护，防止恶意攻击和病毒感染。</w:t>
      </w:r>
    </w:p>
    <w:p>
      <w:pPr>
        <w:pStyle w:val="14"/>
        <w:widowControl w:val="0"/>
        <w:numPr>
          <w:ilvl w:val="0"/>
          <w:numId w:val="9"/>
        </w:numPr>
        <w:spacing w:line="580" w:lineRule="exact"/>
        <w:ind w:left="42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应用安全：确保系统应用的安全性，防止恶意软件和漏洞攻击。</w:t>
      </w:r>
    </w:p>
    <w:p>
      <w:pPr>
        <w:pStyle w:val="14"/>
        <w:widowControl w:val="0"/>
        <w:numPr>
          <w:ilvl w:val="0"/>
          <w:numId w:val="9"/>
        </w:numPr>
        <w:spacing w:line="580" w:lineRule="exact"/>
        <w:ind w:left="42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数据备份：建立完善的数据备份和恢复机制，确保数据的安全性和可靠性。</w:t>
      </w:r>
    </w:p>
    <w:p>
      <w:pPr>
        <w:pStyle w:val="14"/>
        <w:widowControl w:val="0"/>
        <w:numPr>
          <w:ilvl w:val="0"/>
          <w:numId w:val="6"/>
        </w:numPr>
        <w:spacing w:line="580" w:lineRule="exact"/>
        <w:ind w:left="105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技术保障运行、支撑业务和数据维护、应急保障等运维方面的目标</w:t>
      </w:r>
    </w:p>
    <w:p>
      <w:pPr>
        <w:pStyle w:val="14"/>
        <w:widowControl w:val="0"/>
        <w:numPr>
          <w:ilvl w:val="0"/>
          <w:numId w:val="10"/>
        </w:numPr>
        <w:spacing w:line="580" w:lineRule="exact"/>
        <w:ind w:left="42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运行保障：确保系统的稳定运行，提供24*7小时的技术支持和监控。</w:t>
      </w:r>
    </w:p>
    <w:p>
      <w:pPr>
        <w:pStyle w:val="14"/>
        <w:widowControl w:val="0"/>
        <w:numPr>
          <w:ilvl w:val="0"/>
          <w:numId w:val="10"/>
        </w:numPr>
        <w:spacing w:line="580" w:lineRule="exact"/>
        <w:ind w:left="42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业务支撑：确保系统能够支撑医院招采的业务需求。</w:t>
      </w:r>
    </w:p>
    <w:p>
      <w:pPr>
        <w:pStyle w:val="14"/>
        <w:widowControl w:val="0"/>
        <w:numPr>
          <w:ilvl w:val="0"/>
          <w:numId w:val="10"/>
        </w:numPr>
        <w:spacing w:line="580" w:lineRule="exact"/>
        <w:ind w:left="42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数据维护：定期维护系统，保证数据的完整性和准确性。</w:t>
      </w:r>
    </w:p>
    <w:p>
      <w:pPr>
        <w:pStyle w:val="14"/>
        <w:widowControl w:val="0"/>
        <w:numPr>
          <w:ilvl w:val="0"/>
          <w:numId w:val="10"/>
        </w:numPr>
        <w:spacing w:line="580" w:lineRule="exact"/>
        <w:ind w:left="425" w:leftChars="0" w:hanging="425" w:firstLineChars="0"/>
        <w:jc w:val="both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应急保障：建立应急响应机制，确保系统在遇到故障或灾难时能够快速恢复并提供服务。</w:t>
      </w:r>
    </w:p>
    <w:p>
      <w:pPr>
        <w:pStyle w:val="15"/>
        <w:rPr>
          <w:rFonts w:hint="eastAsia"/>
          <w:lang w:val="en-US" w:eastAsia="zh-CN"/>
        </w:rPr>
      </w:pPr>
    </w:p>
    <w:p>
      <w:pPr>
        <w:pStyle w:val="14"/>
        <w:numPr>
          <w:ilvl w:val="0"/>
          <w:numId w:val="5"/>
        </w:numP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效益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目标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:</w:t>
      </w:r>
    </w:p>
    <w:p>
      <w:pPr>
        <w:pStyle w:val="15"/>
        <w:numPr>
          <w:ilvl w:val="0"/>
          <w:numId w:val="11"/>
        </w:numPr>
        <w:ind w:left="845" w:leftChars="0" w:hanging="425" w:firstLineChars="0"/>
        <w:rPr>
          <w:rFonts w:hint="eastAsia" w:ascii="Times New Roman" w:hAnsi="Times New Roman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经济效益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5" w:leftChars="0" w:hanging="425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采购成本下降：公开竞价 + 价格监测，综合节资率 5%-15%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5" w:leftChars="0" w:hanging="425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管理成本下降：无纸化、少人工、降沟通与时间成本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5" w:leftChars="0" w:hanging="425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资金效率提升：预算精准、支付及时、减少浪费</w:t>
      </w:r>
    </w:p>
    <w:p>
      <w:pPr>
        <w:pStyle w:val="15"/>
        <w:numPr>
          <w:ilvl w:val="0"/>
          <w:numId w:val="11"/>
        </w:numPr>
        <w:ind w:left="845" w:leftChars="0" w:hanging="425" w:firstLineChars="0"/>
        <w:rPr>
          <w:rFonts w:hint="eastAsia" w:ascii="Times New Roman" w:hAnsi="Times New Roman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社会效益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5" w:leftChars="0" w:hanging="425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合规透明：全程留痕，接受监督，降低廉政风险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5" w:leftChars="0" w:hanging="425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保障供应：流程高效，临床物资及时到位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5" w:leftChars="0" w:hanging="425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行业示范：为区域医疗机构数字化采购提供样板</w:t>
      </w:r>
    </w:p>
    <w:p>
      <w:pPr>
        <w:pStyle w:val="15"/>
        <w:numPr>
          <w:ilvl w:val="0"/>
          <w:numId w:val="11"/>
        </w:numPr>
        <w:ind w:left="845" w:leftChars="0" w:hanging="425" w:firstLineChars="0"/>
        <w:rPr>
          <w:rFonts w:hint="eastAsia" w:ascii="Times New Roman" w:hAnsi="Times New Roman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管理效益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5" w:leftChars="0" w:hanging="425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流程标准化、制度刚性化、决策数据化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5" w:leftChars="0" w:hanging="425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审计便捷、追溯清晰、内控到位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5" w:leftChars="0" w:hanging="425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  <w:t>供应商服务提升，营商环境优化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spacing w:val="2"/>
          <w:kern w:val="0"/>
          <w:sz w:val="32"/>
          <w:szCs w:val="32"/>
          <w:lang w:val="en-US" w:eastAsia="zh-CN" w:bidi="ar-SA"/>
        </w:rPr>
      </w:pPr>
    </w:p>
    <w:p>
      <w:pPr>
        <w:pStyle w:val="14"/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项目</w:t>
      </w:r>
      <w:r>
        <w:rPr>
          <w:rFonts w:hint="eastAsia" w:ascii="仿宋_GB2312" w:hAnsi="仿宋_GB2312" w:cs="仿宋_GB2312"/>
          <w:lang w:val="en-US" w:eastAsia="zh-CN"/>
        </w:rPr>
        <w:t>建设保障</w:t>
      </w:r>
    </w:p>
    <w:p>
      <w:pPr>
        <w:pStyle w:val="15"/>
        <w:numPr>
          <w:ilvl w:val="0"/>
          <w:numId w:val="0"/>
        </w:numPr>
        <w:ind w:firstLine="640" w:firstLineChars="200"/>
        <w:outlineLvl w:val="9"/>
        <w:rPr>
          <w:rFonts w:hint="default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  <w:t>1.</w:t>
      </w:r>
      <w:bookmarkStart w:id="0" w:name="_Toc532823856"/>
      <w:bookmarkStart w:id="1" w:name="_Toc34935001"/>
      <w:bookmarkStart w:id="2" w:name="_Toc36568082"/>
      <w:bookmarkStart w:id="3" w:name="_Toc13151354"/>
      <w:bookmarkStart w:id="4" w:name="_Toc32073245"/>
      <w:bookmarkStart w:id="5" w:name="_Toc169027706"/>
      <w:r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  <w:t>系统安装集成服务</w:t>
      </w:r>
      <w:bookmarkEnd w:id="0"/>
      <w:bookmarkEnd w:id="1"/>
      <w:bookmarkEnd w:id="2"/>
      <w:bookmarkEnd w:id="3"/>
      <w:bookmarkEnd w:id="4"/>
      <w:bookmarkEnd w:id="5"/>
    </w:p>
    <w:p>
      <w:pPr>
        <w:pStyle w:val="16"/>
        <w:ind w:firstLine="640" w:firstLineChars="200"/>
        <w:outlineLvl w:val="9"/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  <w:t>软件系统研发完成后，</w:t>
      </w:r>
      <w:r>
        <w:rPr>
          <w:rFonts w:hint="default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  <w:t>潜在供应商</w:t>
      </w:r>
      <w:r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  <w:t>需进行系统的安装、配置、基础数据填充、线上测试、性能调优等服务工作。硬件采购到货后，</w:t>
      </w:r>
      <w:r>
        <w:rPr>
          <w:rFonts w:hint="default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  <w:t>潜在供应商</w:t>
      </w:r>
      <w:r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  <w:t>需进行硬件设备的到货验收、设备安装、设备调试、设备接入、系统整体联调、设备数据上线测试等服务工作。</w:t>
      </w:r>
    </w:p>
    <w:p>
      <w:pPr>
        <w:numPr>
          <w:ilvl w:val="1"/>
          <w:numId w:val="0"/>
        </w:numPr>
        <w:spacing w:before="156" w:after="156"/>
        <w:ind w:leftChars="0" w:firstLine="640" w:firstLineChars="200"/>
        <w:outlineLvl w:val="9"/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  <w:t>2.</w:t>
      </w:r>
      <w:bookmarkStart w:id="6" w:name="_Toc34935009"/>
      <w:bookmarkStart w:id="7" w:name="_Toc169027707"/>
      <w:bookmarkStart w:id="8" w:name="_Toc532823867"/>
      <w:bookmarkStart w:id="9" w:name="_Toc36568090"/>
      <w:bookmarkStart w:id="10" w:name="_Toc13151363"/>
      <w:bookmarkStart w:id="11" w:name="_Toc32073253"/>
      <w:r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  <w:t>咨询、管理变革服务</w:t>
      </w:r>
      <w:bookmarkEnd w:id="6"/>
      <w:bookmarkEnd w:id="7"/>
      <w:bookmarkEnd w:id="8"/>
      <w:bookmarkEnd w:id="9"/>
      <w:bookmarkEnd w:id="10"/>
      <w:bookmarkEnd w:id="11"/>
    </w:p>
    <w:p>
      <w:pPr>
        <w:pStyle w:val="16"/>
        <w:ind w:firstLine="640" w:firstLineChars="200"/>
        <w:outlineLvl w:val="9"/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  <w:t>按照统一规划、分步实施的建设原则，</w:t>
      </w:r>
      <w:r>
        <w:rPr>
          <w:rFonts w:hint="default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  <w:t>潜在供应商</w:t>
      </w:r>
      <w:r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  <w:t>需与院方一起确定项目的战略目标，并通过管理咨询的流程管理和分析、信息架构、应用系统分析和设计、技术架构、项目管理和实施等分析工具，从战略目标到业务目标，从业务目标到IT目标，从IT目标到应用蓝图，从应用蓝图到分阶段实施逐一分解落实，解决信息化建设普遍存在的目标不清、路径不明的问题，为更加系统化、规范化地推进工作提供有力支撑。</w:t>
      </w:r>
    </w:p>
    <w:p>
      <w:pPr>
        <w:numPr>
          <w:ilvl w:val="1"/>
          <w:numId w:val="0"/>
        </w:numPr>
        <w:spacing w:before="156" w:after="156"/>
        <w:ind w:leftChars="0" w:firstLine="640" w:firstLineChars="200"/>
        <w:outlineLvl w:val="9"/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</w:pPr>
      <w:bookmarkStart w:id="12" w:name="_Toc532823870"/>
      <w:bookmarkStart w:id="13" w:name="_Toc34935012"/>
      <w:bookmarkStart w:id="14" w:name="_Toc32073256"/>
      <w:bookmarkStart w:id="15" w:name="_Toc36568093"/>
      <w:bookmarkStart w:id="16" w:name="_Toc169027710"/>
      <w:bookmarkStart w:id="17" w:name="_Toc13151366"/>
      <w:r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  <w:t>3.培训服务</w:t>
      </w:r>
      <w:bookmarkEnd w:id="12"/>
      <w:bookmarkEnd w:id="13"/>
      <w:bookmarkEnd w:id="14"/>
      <w:bookmarkEnd w:id="15"/>
      <w:bookmarkEnd w:id="16"/>
      <w:bookmarkEnd w:id="17"/>
    </w:p>
    <w:p>
      <w:pPr>
        <w:pStyle w:val="16"/>
        <w:ind w:firstLine="640" w:firstLineChars="200"/>
        <w:outlineLvl w:val="9"/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  <w:t>供应商</w:t>
      </w:r>
      <w:r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  <w:t>需通过对工作人员进行培训，提升医院招采工作人员自身业务能力和操作人员的业务水平，增强严格履行岗位职责的能力，提升工作效率。</w:t>
      </w:r>
    </w:p>
    <w:p>
      <w:pPr>
        <w:pStyle w:val="16"/>
        <w:numPr>
          <w:ilvl w:val="0"/>
          <w:numId w:val="0"/>
        </w:numPr>
        <w:ind w:firstLine="640" w:firstLineChars="200"/>
        <w:outlineLvl w:val="9"/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</w:pPr>
      <w:bookmarkStart w:id="18" w:name="_Toc532823871"/>
      <w:bookmarkStart w:id="19" w:name="_Toc169027711"/>
      <w:bookmarkStart w:id="20" w:name="_Toc36568094"/>
      <w:bookmarkStart w:id="21" w:name="_Toc13151367"/>
      <w:bookmarkStart w:id="22" w:name="_Toc32073257"/>
      <w:bookmarkStart w:id="23" w:name="_Toc34935013"/>
      <w:r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  <w:t>4.运行保障服务</w:t>
      </w:r>
      <w:bookmarkEnd w:id="18"/>
      <w:bookmarkEnd w:id="19"/>
      <w:bookmarkEnd w:id="20"/>
      <w:bookmarkEnd w:id="21"/>
      <w:bookmarkEnd w:id="22"/>
      <w:bookmarkEnd w:id="23"/>
    </w:p>
    <w:p>
      <w:pPr>
        <w:pStyle w:val="16"/>
        <w:ind w:firstLine="640" w:firstLineChars="200"/>
        <w:outlineLvl w:val="9"/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  <w:t>潜在供应商</w:t>
      </w:r>
      <w:r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  <w:t>在本次项目的运维范围内，应针对项目的整体特性和使用要求，要提供高质量的运维管理服务，做到“响应快速、程序规范、分工合理、职责明确、服务到位、支持有力”，确保系统的正常运行和使用管理制度及程序的规范化，为整个系统提供切实可行的技术保障。</w:t>
      </w:r>
    </w:p>
    <w:p>
      <w:pPr>
        <w:pStyle w:val="16"/>
        <w:ind w:firstLine="640" w:firstLineChars="200"/>
        <w:outlineLvl w:val="9"/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  <w:t>潜在供应商</w:t>
      </w:r>
      <w:r>
        <w:rPr>
          <w:rFonts w:hint="eastAsia" w:ascii="仿宋_GB2312" w:hAnsi="仿宋_GB2312" w:eastAsia="仿宋_GB2312" w:cs="仿宋_GB2312"/>
          <w:smallCaps/>
          <w:kern w:val="2"/>
          <w:sz w:val="32"/>
          <w:szCs w:val="24"/>
          <w:lang w:val="en-US" w:eastAsia="zh-CN" w:bidi="ar-SA"/>
        </w:rPr>
        <w:t>在整个运维服务周期内，要建立完善的沟通协调机制，及时提供运维服务的各种报告，包括运维服务日志、重大故障维修报告、故障总结报告、系统管理报告、系统维护报告等。</w:t>
      </w:r>
    </w:p>
    <w:p>
      <w:pPr>
        <w:pStyle w:val="15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14"/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项目实施</w:t>
      </w:r>
      <w:r>
        <w:rPr>
          <w:rFonts w:hint="default" w:ascii="仿宋_GB2312" w:hAnsi="仿宋_GB2312" w:cs="仿宋_GB2312"/>
          <w:lang w:val="en-US" w:eastAsia="zh-CN"/>
        </w:rPr>
        <w:t>要求</w:t>
      </w:r>
    </w:p>
    <w:p>
      <w:pPr>
        <w:pStyle w:val="14"/>
        <w:numPr>
          <w:ilvl w:val="0"/>
          <w:numId w:val="0"/>
        </w:numPr>
        <w:ind w:firstLine="640" w:firstLineChars="200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1.</w:t>
      </w:r>
      <w:r>
        <w:rPr>
          <w:rFonts w:hint="default" w:ascii="仿宋_GB2312" w:hAnsi="仿宋_GB2312" w:cs="仿宋_GB2312"/>
          <w:lang w:val="en-US" w:eastAsia="zh-CN"/>
        </w:rPr>
        <w:t>潜在供应商应详细描述本次项目整体实施方案，包括项目概述、</w:t>
      </w:r>
      <w:r>
        <w:rPr>
          <w:rFonts w:hint="eastAsia" w:ascii="仿宋_GB2312" w:hAnsi="仿宋_GB2312" w:cs="仿宋_GB2312"/>
          <w:lang w:val="en-US" w:eastAsia="zh-CN"/>
        </w:rPr>
        <w:t>项目</w:t>
      </w:r>
      <w:r>
        <w:rPr>
          <w:rFonts w:hint="default" w:ascii="仿宋_GB2312" w:hAnsi="仿宋_GB2312" w:cs="仿宋_GB2312"/>
          <w:lang w:val="en-US" w:eastAsia="zh-CN"/>
        </w:rPr>
        <w:t>服务方案、项目实施方案等。</w:t>
      </w:r>
    </w:p>
    <w:p>
      <w:pPr>
        <w:pStyle w:val="14"/>
        <w:numPr>
          <w:ilvl w:val="0"/>
          <w:numId w:val="0"/>
        </w:numPr>
        <w:ind w:leftChars="0" w:firstLine="640" w:firstLineChars="200"/>
        <w:outlineLvl w:val="9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2.</w:t>
      </w:r>
      <w:r>
        <w:rPr>
          <w:rFonts w:hint="default" w:ascii="仿宋_GB2312" w:hAnsi="仿宋_GB2312" w:cs="仿宋_GB2312"/>
          <w:lang w:val="en-US" w:eastAsia="zh-CN"/>
        </w:rPr>
        <w:t>潜在供应商应详细描述服务人员的组成、资质及各自职责的划分。投标人应配置有经验的</w:t>
      </w:r>
      <w:r>
        <w:rPr>
          <w:rFonts w:hint="eastAsia" w:ascii="仿宋_GB2312" w:hAnsi="仿宋_GB2312" w:cs="仿宋_GB2312"/>
          <w:lang w:val="en-US" w:eastAsia="zh-CN"/>
        </w:rPr>
        <w:t>测试、实施</w:t>
      </w:r>
      <w:r>
        <w:rPr>
          <w:rFonts w:hint="default" w:ascii="仿宋_GB2312" w:hAnsi="仿宋_GB2312" w:cs="仿宋_GB2312"/>
          <w:lang w:val="en-US" w:eastAsia="zh-CN"/>
        </w:rPr>
        <w:t>人员进行本次</w:t>
      </w:r>
      <w:r>
        <w:rPr>
          <w:rFonts w:hint="eastAsia" w:ascii="仿宋_GB2312" w:hAnsi="仿宋_GB2312" w:cs="仿宋_GB2312"/>
          <w:lang w:val="en-US" w:eastAsia="zh-CN"/>
        </w:rPr>
        <w:t>电子招采平台系统建设</w:t>
      </w:r>
      <w:r>
        <w:rPr>
          <w:rFonts w:hint="default" w:ascii="仿宋_GB2312" w:hAnsi="仿宋_GB2312" w:cs="仿宋_GB2312"/>
          <w:lang w:val="en-US" w:eastAsia="zh-CN"/>
        </w:rPr>
        <w:t>工作。</w:t>
      </w:r>
    </w:p>
    <w:p>
      <w:pPr>
        <w:pStyle w:val="15"/>
        <w:ind w:left="0" w:leftChars="0" w:firstLine="0" w:firstLineChars="0"/>
        <w:outlineLvl w:val="9"/>
        <w:rPr>
          <w:rFonts w:hint="eastAsia"/>
          <w:lang w:val="en-US" w:eastAsia="zh-CN"/>
        </w:rPr>
      </w:pPr>
    </w:p>
    <w:p>
      <w:pPr>
        <w:pStyle w:val="14"/>
        <w:numPr>
          <w:ilvl w:val="0"/>
          <w:numId w:val="5"/>
        </w:numPr>
        <w:rPr>
          <w:rFonts w:hint="eastAsia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项目交付文档</w:t>
      </w:r>
    </w:p>
    <w:p>
      <w:pPr>
        <w:pStyle w:val="14"/>
        <w:numPr>
          <w:ilvl w:val="0"/>
          <w:numId w:val="0"/>
        </w:numPr>
        <w:ind w:firstLine="640" w:firstLineChars="200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项目实施过程及完成后，应向采购人提交包含但不限于以下的文档：</w:t>
      </w:r>
    </w:p>
    <w:p>
      <w:pPr>
        <w:pStyle w:val="14"/>
        <w:numPr>
          <w:ilvl w:val="0"/>
          <w:numId w:val="0"/>
        </w:numPr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《</w:t>
      </w:r>
      <w:r>
        <w:rPr>
          <w:rFonts w:hint="eastAsia" w:ascii="仿宋_GB2312" w:hAnsi="仿宋_GB2312" w:cs="仿宋_GB2312"/>
          <w:lang w:val="en-US" w:eastAsia="zh-CN"/>
        </w:rPr>
        <w:t>电子招采平台系统建设</w:t>
      </w:r>
      <w:r>
        <w:rPr>
          <w:rFonts w:hint="default" w:ascii="仿宋_GB2312" w:hAnsi="仿宋_GB2312" w:cs="仿宋_GB2312"/>
          <w:lang w:val="en-US" w:eastAsia="zh-CN"/>
        </w:rPr>
        <w:t>方案》</w:t>
      </w:r>
    </w:p>
    <w:p>
      <w:pPr>
        <w:pStyle w:val="14"/>
        <w:numPr>
          <w:ilvl w:val="0"/>
          <w:numId w:val="0"/>
        </w:numPr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《</w:t>
      </w:r>
      <w:r>
        <w:rPr>
          <w:rFonts w:hint="eastAsia" w:ascii="仿宋_GB2312" w:hAnsi="仿宋_GB2312" w:cs="仿宋_GB2312"/>
          <w:lang w:val="en-US" w:eastAsia="zh-CN"/>
        </w:rPr>
        <w:t>电子招采平台系统需求调研表</w:t>
      </w:r>
      <w:r>
        <w:rPr>
          <w:rFonts w:hint="default" w:ascii="仿宋_GB2312" w:hAnsi="仿宋_GB2312" w:cs="仿宋_GB2312"/>
          <w:lang w:val="en-US" w:eastAsia="zh-CN"/>
        </w:rPr>
        <w:t>》</w:t>
      </w:r>
    </w:p>
    <w:p>
      <w:pPr>
        <w:pStyle w:val="14"/>
        <w:numPr>
          <w:ilvl w:val="0"/>
          <w:numId w:val="0"/>
        </w:numPr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《</w:t>
      </w:r>
      <w:r>
        <w:rPr>
          <w:rFonts w:hint="eastAsia" w:ascii="仿宋_GB2312" w:hAnsi="仿宋_GB2312" w:cs="仿宋_GB2312"/>
          <w:lang w:val="en-US" w:eastAsia="zh-CN"/>
        </w:rPr>
        <w:t>电子招采平台系统实施计划书</w:t>
      </w:r>
      <w:r>
        <w:rPr>
          <w:rFonts w:hint="default" w:ascii="仿宋_GB2312" w:hAnsi="仿宋_GB2312" w:cs="仿宋_GB2312"/>
          <w:lang w:val="en-US" w:eastAsia="zh-CN"/>
        </w:rPr>
        <w:t>》</w:t>
      </w:r>
    </w:p>
    <w:p>
      <w:pPr>
        <w:pStyle w:val="14"/>
        <w:numPr>
          <w:ilvl w:val="0"/>
          <w:numId w:val="0"/>
        </w:numPr>
        <w:outlineLvl w:val="9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《</w:t>
      </w:r>
      <w:r>
        <w:rPr>
          <w:rFonts w:hint="eastAsia" w:ascii="仿宋_GB2312" w:hAnsi="仿宋_GB2312" w:cs="仿宋_GB2312"/>
          <w:lang w:val="en-US" w:eastAsia="zh-CN"/>
        </w:rPr>
        <w:t>电子招采平台系统风险管理表</w:t>
      </w:r>
      <w:r>
        <w:rPr>
          <w:rFonts w:hint="default" w:ascii="仿宋_GB2312" w:hAnsi="仿宋_GB2312" w:cs="仿宋_GB2312"/>
          <w:lang w:val="en-US" w:eastAsia="zh-CN"/>
        </w:rPr>
        <w:t>》</w:t>
      </w:r>
    </w:p>
    <w:p>
      <w:pPr>
        <w:pStyle w:val="14"/>
        <w:numPr>
          <w:ilvl w:val="0"/>
          <w:numId w:val="0"/>
        </w:numPr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《电子招采平台系统需求变更统计表》</w:t>
      </w:r>
    </w:p>
    <w:p>
      <w:pPr>
        <w:pStyle w:val="14"/>
        <w:numPr>
          <w:ilvl w:val="0"/>
          <w:numId w:val="0"/>
        </w:numPr>
        <w:outlineLvl w:val="9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注：</w:t>
      </w:r>
      <w:r>
        <w:rPr>
          <w:rFonts w:hint="default" w:ascii="仿宋_GB2312" w:hAnsi="仿宋_GB2312" w:cs="仿宋_GB2312"/>
          <w:lang w:val="en-US" w:eastAsia="zh-CN"/>
        </w:rPr>
        <w:t>《</w:t>
      </w:r>
      <w:r>
        <w:rPr>
          <w:rFonts w:hint="eastAsia" w:ascii="仿宋_GB2312" w:hAnsi="仿宋_GB2312" w:cs="仿宋_GB2312"/>
          <w:lang w:val="en-US" w:eastAsia="zh-CN"/>
        </w:rPr>
        <w:t>电子招采平台系统建设方案</w:t>
      </w:r>
      <w:r>
        <w:rPr>
          <w:rFonts w:hint="default" w:ascii="仿宋_GB2312" w:hAnsi="仿宋_GB2312" w:cs="仿宋_GB2312"/>
          <w:lang w:val="en-US" w:eastAsia="zh-CN"/>
        </w:rPr>
        <w:t>》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《</w:t>
      </w:r>
      <w:r>
        <w:rPr>
          <w:rFonts w:hint="eastAsia" w:ascii="仿宋_GB2312" w:hAnsi="仿宋_GB2312" w:cs="仿宋_GB2312"/>
          <w:lang w:val="en-US" w:eastAsia="zh-CN"/>
        </w:rPr>
        <w:t>电子招采平台系统需求调研表</w:t>
      </w:r>
      <w:r>
        <w:rPr>
          <w:rFonts w:hint="default" w:ascii="仿宋_GB2312" w:hAnsi="仿宋_GB2312" w:cs="仿宋_GB2312"/>
          <w:lang w:val="en-US" w:eastAsia="zh-CN"/>
        </w:rPr>
        <w:t>》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default" w:ascii="仿宋_GB2312" w:hAnsi="仿宋_GB2312" w:cs="仿宋_GB2312"/>
          <w:lang w:val="en-US" w:eastAsia="zh-CN"/>
        </w:rPr>
        <w:t>《</w:t>
      </w:r>
      <w:r>
        <w:rPr>
          <w:rFonts w:hint="eastAsia" w:ascii="仿宋_GB2312" w:hAnsi="仿宋_GB2312" w:cs="仿宋_GB2312"/>
          <w:lang w:val="en-US" w:eastAsia="zh-CN"/>
        </w:rPr>
        <w:t>电子招采平台系统实施计划书</w:t>
      </w:r>
      <w:r>
        <w:rPr>
          <w:rFonts w:hint="default" w:ascii="仿宋_GB2312" w:hAnsi="仿宋_GB2312" w:cs="仿宋_GB2312"/>
          <w:lang w:val="en-US" w:eastAsia="zh-CN"/>
        </w:rPr>
        <w:t>》</w:t>
      </w:r>
      <w:r>
        <w:rPr>
          <w:rFonts w:hint="eastAsia" w:ascii="仿宋_GB2312" w:hAnsi="仿宋_GB2312" w:cs="仿宋_GB2312"/>
          <w:lang w:val="en-US" w:eastAsia="zh-CN"/>
        </w:rPr>
        <w:t>应在正式实施建设前提交，</w:t>
      </w:r>
      <w:r>
        <w:rPr>
          <w:rFonts w:hint="default" w:ascii="仿宋_GB2312" w:hAnsi="仿宋_GB2312" w:cs="仿宋_GB2312"/>
          <w:lang w:val="en-US" w:eastAsia="zh-CN"/>
        </w:rPr>
        <w:t>《</w:t>
      </w:r>
      <w:r>
        <w:rPr>
          <w:rFonts w:hint="eastAsia" w:ascii="仿宋_GB2312" w:hAnsi="仿宋_GB2312" w:cs="仿宋_GB2312"/>
          <w:lang w:val="en-US" w:eastAsia="zh-CN"/>
        </w:rPr>
        <w:t>电子招采平台系统风险管理表</w:t>
      </w:r>
      <w:r>
        <w:rPr>
          <w:rFonts w:hint="default" w:ascii="仿宋_GB2312" w:hAnsi="仿宋_GB2312" w:cs="仿宋_GB2312"/>
          <w:lang w:val="en-US" w:eastAsia="zh-CN"/>
        </w:rPr>
        <w:t>》</w:t>
      </w:r>
      <w:r>
        <w:rPr>
          <w:rFonts w:hint="eastAsia" w:ascii="仿宋_GB2312" w:hAnsi="仿宋_GB2312" w:cs="仿宋_GB2312"/>
          <w:lang w:val="en-US" w:eastAsia="zh-CN"/>
        </w:rPr>
        <w:t>应在实施建设中提交，《电子招采平台系统需求变更统计表》应在软件上线后提交。</w:t>
      </w:r>
    </w:p>
    <w:p>
      <w:pPr>
        <w:pStyle w:val="14"/>
        <w:numPr>
          <w:ilvl w:val="0"/>
          <w:numId w:val="0"/>
        </w:numPr>
        <w:outlineLvl w:val="9"/>
        <w:rPr>
          <w:rFonts w:hint="eastAsia" w:ascii="仿宋_GB2312" w:hAnsi="仿宋_GB2312" w:cs="仿宋_GB2312"/>
          <w:lang w:val="en-US" w:eastAsia="zh-CN"/>
        </w:rPr>
      </w:pPr>
    </w:p>
    <w:p>
      <w:pPr>
        <w:pStyle w:val="15"/>
        <w:numPr>
          <w:ilvl w:val="0"/>
          <w:numId w:val="0"/>
        </w:numPr>
        <w:outlineLvl w:val="9"/>
        <w:rPr>
          <w:rFonts w:hint="eastAsia"/>
          <w:lang w:val="en-US" w:eastAsia="zh-CN"/>
        </w:rPr>
      </w:pPr>
      <w:bookmarkStart w:id="24" w:name="_GoBack"/>
      <w:bookmarkEnd w:id="24"/>
    </w:p>
    <w:sectPr>
      <w:footerReference r:id="rId3" w:type="default"/>
      <w:pgSz w:w="11906" w:h="16838"/>
      <w:pgMar w:top="2098" w:right="136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70C0A"/>
    <w:multiLevelType w:val="singleLevel"/>
    <w:tmpl w:val="85870C0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BFBFE09"/>
    <w:multiLevelType w:val="singleLevel"/>
    <w:tmpl w:val="8BFBFE0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922E736C"/>
    <w:multiLevelType w:val="singleLevel"/>
    <w:tmpl w:val="922E736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C8D64EE2"/>
    <w:multiLevelType w:val="singleLevel"/>
    <w:tmpl w:val="C8D64EE2"/>
    <w:lvl w:ilvl="0" w:tentative="0">
      <w:start w:val="1"/>
      <w:numFmt w:val="decimal"/>
      <w:lvlText w:val="(%1)"/>
      <w:lvlJc w:val="left"/>
      <w:pPr>
        <w:ind w:left="1055" w:hanging="425"/>
      </w:pPr>
      <w:rPr>
        <w:rFonts w:hint="default"/>
      </w:rPr>
    </w:lvl>
  </w:abstractNum>
  <w:abstractNum w:abstractNumId="4">
    <w:nsid w:val="CA0800BF"/>
    <w:multiLevelType w:val="multilevel"/>
    <w:tmpl w:val="CA0800BF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709" w:hanging="567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09" w:hanging="709"/>
      </w:pPr>
      <w:rPr>
        <w:rFonts w:hint="eastAsia" w:ascii="方正黑体_GBK" w:hAnsi="方正黑体_GBK" w:eastAsia="方正黑体_GBK" w:cs="方正仿宋_GBK"/>
      </w:rPr>
    </w:lvl>
    <w:lvl w:ilvl="3" w:tentative="0">
      <w:start w:val="1"/>
      <w:numFmt w:val="decimal"/>
      <w:isLgl/>
      <w:lvlText w:val="%1.%2.%3.%4."/>
      <w:lvlJc w:val="left"/>
      <w:pPr>
        <w:ind w:left="1276" w:hanging="85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5">
    <w:nsid w:val="E6281F95"/>
    <w:multiLevelType w:val="singleLevel"/>
    <w:tmpl w:val="E6281F9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0653B5B1"/>
    <w:multiLevelType w:val="singleLevel"/>
    <w:tmpl w:val="0653B5B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0F35014E"/>
    <w:multiLevelType w:val="singleLevel"/>
    <w:tmpl w:val="0F35014E"/>
    <w:lvl w:ilvl="0" w:tentative="0">
      <w:start w:val="1"/>
      <w:numFmt w:val="decimal"/>
      <w:lvlText w:val="(%1)"/>
      <w:lvlJc w:val="left"/>
      <w:pPr>
        <w:ind w:left="1055" w:hanging="425"/>
      </w:pPr>
      <w:rPr>
        <w:rFonts w:hint="default"/>
      </w:rPr>
    </w:lvl>
  </w:abstractNum>
  <w:abstractNum w:abstractNumId="8">
    <w:nsid w:val="125ACC85"/>
    <w:multiLevelType w:val="singleLevel"/>
    <w:tmpl w:val="125ACC85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9">
    <w:nsid w:val="3423AB21"/>
    <w:multiLevelType w:val="singleLevel"/>
    <w:tmpl w:val="3423AB2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361B0275"/>
    <w:multiLevelType w:val="singleLevel"/>
    <w:tmpl w:val="361B0275"/>
    <w:lvl w:ilvl="0" w:tentative="0">
      <w:start w:val="1"/>
      <w:numFmt w:val="chineseCounting"/>
      <w:suff w:val="nothing"/>
      <w:lvlText w:val="（%1）"/>
      <w:lvlJc w:val="left"/>
      <w:pPr>
        <w:ind w:left="-210" w:firstLine="420"/>
      </w:pPr>
      <w:rPr>
        <w:rFonts w:hint="eastAsia"/>
      </w:rPr>
    </w:lvl>
  </w:abstractNum>
  <w:abstractNum w:abstractNumId="11">
    <w:nsid w:val="55D1F4B3"/>
    <w:multiLevelType w:val="singleLevel"/>
    <w:tmpl w:val="55D1F4B3"/>
    <w:lvl w:ilvl="0" w:tentative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12">
    <w:nsid w:val="5754CB97"/>
    <w:multiLevelType w:val="singleLevel"/>
    <w:tmpl w:val="5754CB9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6A186C03"/>
    <w:multiLevelType w:val="singleLevel"/>
    <w:tmpl w:val="6A186C03"/>
    <w:lvl w:ilvl="0" w:tentative="0">
      <w:start w:val="1"/>
      <w:numFmt w:val="decimal"/>
      <w:lvlText w:val="(%1)"/>
      <w:lvlJc w:val="left"/>
      <w:pPr>
        <w:ind w:left="1055" w:hanging="425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12"/>
  </w:num>
  <w:num w:numId="10">
    <w:abstractNumId w:val="6"/>
  </w:num>
  <w:num w:numId="11">
    <w:abstractNumId w:val="11"/>
  </w:num>
  <w:num w:numId="12">
    <w:abstractNumId w:val="7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NzlmMGEzNmM0MWM3NjIzZDUzY2RkYWFmYjhkNGQifQ=="/>
  </w:docVars>
  <w:rsids>
    <w:rsidRoot w:val="00000000"/>
    <w:rsid w:val="01A4698D"/>
    <w:rsid w:val="03004097"/>
    <w:rsid w:val="043760C1"/>
    <w:rsid w:val="04CD56ED"/>
    <w:rsid w:val="04F045B8"/>
    <w:rsid w:val="06336531"/>
    <w:rsid w:val="068014B3"/>
    <w:rsid w:val="09E5708C"/>
    <w:rsid w:val="0B24469B"/>
    <w:rsid w:val="0B714761"/>
    <w:rsid w:val="0D5154EF"/>
    <w:rsid w:val="0F7200CA"/>
    <w:rsid w:val="15B9769D"/>
    <w:rsid w:val="15C76E3B"/>
    <w:rsid w:val="166E7112"/>
    <w:rsid w:val="1BE51C24"/>
    <w:rsid w:val="1DAD49C3"/>
    <w:rsid w:val="1DAF24EA"/>
    <w:rsid w:val="22216586"/>
    <w:rsid w:val="24DD5B8E"/>
    <w:rsid w:val="2503642C"/>
    <w:rsid w:val="25981AB5"/>
    <w:rsid w:val="260D5FFF"/>
    <w:rsid w:val="29064F88"/>
    <w:rsid w:val="292C17F7"/>
    <w:rsid w:val="2AD20F52"/>
    <w:rsid w:val="2E1343CF"/>
    <w:rsid w:val="2E265AC6"/>
    <w:rsid w:val="317C228B"/>
    <w:rsid w:val="31F24F2A"/>
    <w:rsid w:val="323D1A1A"/>
    <w:rsid w:val="376B702A"/>
    <w:rsid w:val="3A1439A9"/>
    <w:rsid w:val="3C033CD5"/>
    <w:rsid w:val="3C460065"/>
    <w:rsid w:val="3C850B8E"/>
    <w:rsid w:val="3E624969"/>
    <w:rsid w:val="3EA66B4D"/>
    <w:rsid w:val="3F60143E"/>
    <w:rsid w:val="40020F55"/>
    <w:rsid w:val="440E5289"/>
    <w:rsid w:val="444C01E3"/>
    <w:rsid w:val="46DD1486"/>
    <w:rsid w:val="47136D96"/>
    <w:rsid w:val="47E23BB5"/>
    <w:rsid w:val="4BB40B47"/>
    <w:rsid w:val="4C20442F"/>
    <w:rsid w:val="4D2E492A"/>
    <w:rsid w:val="4E0A5FB9"/>
    <w:rsid w:val="4ED96B17"/>
    <w:rsid w:val="50A82363"/>
    <w:rsid w:val="51D85B33"/>
    <w:rsid w:val="522B4658"/>
    <w:rsid w:val="53411540"/>
    <w:rsid w:val="555E1036"/>
    <w:rsid w:val="56002BDB"/>
    <w:rsid w:val="57B8376D"/>
    <w:rsid w:val="581706BC"/>
    <w:rsid w:val="596F60AE"/>
    <w:rsid w:val="59F07EF6"/>
    <w:rsid w:val="5DA81A66"/>
    <w:rsid w:val="5E947557"/>
    <w:rsid w:val="5F374E01"/>
    <w:rsid w:val="606A5821"/>
    <w:rsid w:val="60FD4C26"/>
    <w:rsid w:val="62606EDB"/>
    <w:rsid w:val="66F83C73"/>
    <w:rsid w:val="67D6379C"/>
    <w:rsid w:val="693571DC"/>
    <w:rsid w:val="6AED1528"/>
    <w:rsid w:val="6C910945"/>
    <w:rsid w:val="6E22773B"/>
    <w:rsid w:val="6EA74418"/>
    <w:rsid w:val="6F9B77A5"/>
    <w:rsid w:val="70891CF3"/>
    <w:rsid w:val="72C074B7"/>
    <w:rsid w:val="75CB4330"/>
    <w:rsid w:val="76830F93"/>
    <w:rsid w:val="773F135E"/>
    <w:rsid w:val="7A0F4C43"/>
    <w:rsid w:val="7BE129E3"/>
    <w:rsid w:val="7BFE5B11"/>
    <w:rsid w:val="7DCF64D3"/>
    <w:rsid w:val="7E997277"/>
    <w:rsid w:val="7FC4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50" w:beforeLines="50" w:after="50" w:afterLines="50"/>
      <w:ind w:left="567" w:firstLineChars="0"/>
      <w:outlineLvl w:val="1"/>
    </w:pPr>
    <w:rPr>
      <w:rFonts w:ascii="方正黑体_GBK" w:hAnsi="方正黑体_GBK" w:eastAsia="方正黑体_GBK" w:cs="Times New Roman"/>
      <w:sz w:val="32"/>
      <w:szCs w:val="2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39"/>
    <w:pPr>
      <w:ind w:left="240"/>
      <w:jc w:val="left"/>
    </w:pPr>
    <w:rPr>
      <w:rFonts w:ascii="等线" w:eastAsia="等线"/>
      <w:smallCaps/>
      <w:sz w:val="20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正文首行缩进 21"/>
    <w:basedOn w:val="1"/>
    <w:qFormat/>
    <w:uiPriority w:val="0"/>
    <w:pPr>
      <w:ind w:firstLine="420" w:firstLineChars="200"/>
    </w:pPr>
    <w:rPr>
      <w:sz w:val="24"/>
    </w:rPr>
  </w:style>
  <w:style w:type="paragraph" w:customStyle="1" w:styleId="14">
    <w:name w:val="主送单位"/>
    <w:basedOn w:val="15"/>
    <w:next w:val="15"/>
    <w:qFormat/>
    <w:uiPriority w:val="0"/>
    <w:pPr>
      <w:ind w:firstLine="0" w:firstLineChars="0"/>
      <w:outlineLvl w:val="1"/>
    </w:pPr>
    <w:rPr>
      <w:rFonts w:ascii="Calibri" w:hAnsi="Calibri"/>
    </w:rPr>
  </w:style>
  <w:style w:type="paragraph" w:customStyle="1" w:styleId="15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6">
    <w:name w:val="00 -正文"/>
    <w:basedOn w:val="1"/>
    <w:qFormat/>
    <w:uiPriority w:val="0"/>
    <w:pPr>
      <w:widowControl/>
      <w:ind w:firstLine="0" w:firstLineChars="0"/>
    </w:pPr>
    <w:rPr>
      <w:rFonts w:ascii="宋体" w:hAnsi="宋体" w:cs="Times New Roman"/>
      <w:color w:val="333333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473</Characters>
  <Lines>0</Lines>
  <Paragraphs>0</Paragraphs>
  <TotalTime>14</TotalTime>
  <ScaleCrop>false</ScaleCrop>
  <LinksUpToDate>false</LinksUpToDate>
  <CharactersWithSpaces>475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2022-03-17T07:49:00Z</dcterms:created>
  <dc:creator>Administrator</dc:creator>
  <cp:lastModifiedBy>10075</cp:lastModifiedBy>
  <dcterms:modified xsi:type="dcterms:W3CDTF">2026-04-17T02:35:58Z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6B0823A25EB84863AF1C34B6E09E9E31</vt:lpwstr>
  </property>
</Properties>
</file>