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hAnsi="方正小标宋简体" w:eastAsia="方正小标宋简体" w:cs="方正小标宋简体"/>
          <w:bCs/>
          <w:sz w:val="48"/>
          <w:szCs w:val="48"/>
        </w:rPr>
      </w:pPr>
    </w:p>
    <w:p>
      <w:pPr>
        <w:spacing w:line="700" w:lineRule="exact"/>
        <w:jc w:val="center"/>
        <w:rPr>
          <w:rFonts w:hint="eastAsia" w:ascii="方正小标宋简体" w:hAnsi="方正小标宋简体" w:eastAsia="方正小标宋简体" w:cs="方正小标宋简体"/>
          <w:bCs/>
          <w:sz w:val="48"/>
          <w:szCs w:val="48"/>
        </w:rPr>
      </w:pPr>
      <w:r>
        <w:rPr>
          <w:rFonts w:hint="eastAsia" w:ascii="方正小标宋简体" w:hAnsi="方正小标宋简体" w:eastAsia="方正小标宋简体" w:cs="方正小标宋简体"/>
          <w:bCs/>
          <w:sz w:val="48"/>
          <w:szCs w:val="48"/>
        </w:rPr>
        <w:t>电子招采平台系统建设项目</w:t>
      </w:r>
    </w:p>
    <w:p>
      <w:pPr>
        <w:spacing w:line="700" w:lineRule="exact"/>
        <w:jc w:val="center"/>
        <w:rPr>
          <w:rFonts w:hint="eastAsia" w:ascii="方正小标宋简体" w:hAnsi="方正小标宋简体" w:eastAsia="方正小标宋简体" w:cs="方正小标宋简体"/>
          <w:bCs/>
          <w:sz w:val="48"/>
          <w:szCs w:val="48"/>
          <w:lang w:val="en-US" w:eastAsia="zh-CN"/>
        </w:rPr>
      </w:pPr>
      <w:r>
        <w:rPr>
          <w:rFonts w:hint="eastAsia" w:ascii="方正小标宋简体" w:hAnsi="方正小标宋简体" w:eastAsia="方正小标宋简体" w:cs="方正小标宋简体"/>
          <w:bCs/>
          <w:sz w:val="48"/>
          <w:szCs w:val="48"/>
        </w:rPr>
        <w:t>建设</w:t>
      </w:r>
      <w:r>
        <w:rPr>
          <w:rFonts w:hint="eastAsia" w:ascii="方正小标宋简体" w:hAnsi="方正小标宋简体" w:eastAsia="方正小标宋简体" w:cs="方正小标宋简体"/>
          <w:bCs/>
          <w:sz w:val="48"/>
          <w:szCs w:val="48"/>
          <w:lang w:val="en-US" w:eastAsia="zh-CN"/>
        </w:rPr>
        <w:t>需求</w:t>
      </w:r>
    </w:p>
    <w:p>
      <w:pPr>
        <w:pStyle w:val="6"/>
      </w:pPr>
    </w:p>
    <w:p>
      <w:pPr>
        <w:spacing w:line="1240" w:lineRule="exact"/>
        <w:ind w:firstLine="960" w:firstLineChars="300"/>
        <w:rPr>
          <w:rFonts w:ascii="黑体" w:hAnsi="黑体" w:eastAsia="黑体"/>
          <w:bCs/>
          <w:sz w:val="32"/>
          <w:szCs w:val="32"/>
          <w:u w:val="single"/>
        </w:rPr>
      </w:pPr>
      <w:r>
        <w:rPr>
          <w:rFonts w:hint="eastAsia" w:ascii="黑体" w:hAnsi="黑体" w:eastAsia="黑体"/>
          <w:bCs/>
          <w:sz w:val="32"/>
          <w:szCs w:val="32"/>
        </w:rPr>
        <w:t>建设单位：</w:t>
      </w:r>
      <w:r>
        <w:rPr>
          <w:rFonts w:hint="eastAsia"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w:t>
      </w:r>
      <w:r>
        <w:rPr>
          <w:rFonts w:hint="eastAsia"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内江市中医医院          </w:t>
      </w:r>
      <w:r>
        <w:rPr>
          <w:rFonts w:hint="eastAsia" w:ascii="黑体" w:hAnsi="黑体" w:eastAsia="黑体"/>
          <w:bCs/>
          <w:sz w:val="32"/>
          <w:szCs w:val="32"/>
          <w:u w:val="single"/>
        </w:rPr>
        <w:t xml:space="preserve">  </w:t>
      </w:r>
    </w:p>
    <w:p>
      <w:pPr>
        <w:spacing w:line="1240" w:lineRule="exact"/>
        <w:ind w:firstLine="960" w:firstLineChars="300"/>
        <w:rPr>
          <w:rFonts w:ascii="黑体" w:hAnsi="黑体" w:eastAsia="黑体"/>
          <w:bCs/>
          <w:sz w:val="32"/>
          <w:szCs w:val="32"/>
          <w:u w:val="single"/>
        </w:rPr>
      </w:pPr>
      <w:r>
        <w:rPr>
          <w:rFonts w:hint="eastAsia" w:ascii="黑体" w:hAnsi="黑体" w:eastAsia="黑体" w:cs="Times New Roman"/>
          <w:bCs/>
          <w:sz w:val="32"/>
          <w:szCs w:val="32"/>
          <w:lang w:val="en-US" w:eastAsia="zh-CN"/>
        </w:rPr>
        <w:t>需求科室</w:t>
      </w:r>
      <w:r>
        <w:rPr>
          <w:rFonts w:hint="eastAsia" w:ascii="黑体" w:hAnsi="黑体" w:eastAsia="黑体" w:cs="Times New Roman"/>
          <w:bCs/>
          <w:sz w:val="32"/>
          <w:szCs w:val="32"/>
        </w:rPr>
        <w:t>：</w:t>
      </w:r>
      <w:r>
        <w:rPr>
          <w:rFonts w:hint="eastAsia" w:ascii="黑体" w:hAnsi="黑体" w:eastAsia="黑体"/>
          <w:bCs/>
          <w:sz w:val="32"/>
          <w:szCs w:val="32"/>
          <w:u w:val="single"/>
          <w:lang w:val="en-US" w:eastAsia="zh-CN"/>
        </w:rPr>
        <w:t xml:space="preserve">           采购供应科         </w:t>
      </w:r>
      <w:r>
        <w:rPr>
          <w:rFonts w:hint="eastAsia" w:ascii="黑体" w:hAnsi="黑体" w:eastAsia="黑体"/>
          <w:bCs/>
          <w:sz w:val="32"/>
          <w:szCs w:val="32"/>
          <w:u w:val="single"/>
        </w:rPr>
        <w:t xml:space="preserve">    </w:t>
      </w:r>
    </w:p>
    <w:p>
      <w:pPr>
        <w:spacing w:line="1240" w:lineRule="exact"/>
        <w:ind w:left="540" w:firstLine="420"/>
        <w:jc w:val="left"/>
        <w:rPr>
          <w:rFonts w:ascii="黑体" w:hAnsi="宋体" w:eastAsia="黑体"/>
          <w:bCs/>
          <w:sz w:val="32"/>
          <w:szCs w:val="32"/>
        </w:rPr>
      </w:pPr>
      <w:r>
        <w:rPr>
          <w:rFonts w:hint="eastAsia" w:ascii="黑体" w:hAnsi="黑体" w:eastAsia="黑体" w:cs="Times New Roman"/>
          <w:bCs/>
          <w:sz w:val="32"/>
          <w:szCs w:val="32"/>
          <w:lang w:val="en-US" w:eastAsia="zh-CN"/>
        </w:rPr>
        <w:t>联 系 人</w:t>
      </w:r>
      <w:r>
        <w:rPr>
          <w:rFonts w:hint="eastAsia" w:ascii="黑体" w:hAnsi="宋体" w:eastAsia="黑体"/>
          <w:bCs/>
          <w:sz w:val="32"/>
          <w:szCs w:val="32"/>
        </w:rPr>
        <w:t>：</w:t>
      </w:r>
      <w:r>
        <w:rPr>
          <w:rFonts w:hint="eastAsia"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w:t>
      </w:r>
      <w:r>
        <w:rPr>
          <w:rFonts w:hint="eastAsia"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w:t>
      </w:r>
      <w:r>
        <w:rPr>
          <w:rFonts w:hint="eastAsia" w:ascii="黑体" w:hAnsi="黑体" w:eastAsia="黑体"/>
          <w:bCs/>
          <w:sz w:val="32"/>
          <w:szCs w:val="32"/>
          <w:u w:val="single"/>
        </w:rPr>
        <w:t xml:space="preserve">        </w:t>
      </w:r>
    </w:p>
    <w:p>
      <w:pPr>
        <w:spacing w:line="1240" w:lineRule="exact"/>
        <w:ind w:left="540" w:firstLine="420"/>
        <w:jc w:val="left"/>
        <w:rPr>
          <w:rFonts w:ascii="黑体" w:hAnsi="宋体" w:eastAsia="黑体"/>
          <w:bCs/>
          <w:sz w:val="32"/>
          <w:szCs w:val="32"/>
          <w:u w:val="single"/>
        </w:rPr>
      </w:pPr>
      <w:r>
        <w:rPr>
          <w:rFonts w:hint="eastAsia" w:ascii="黑体" w:hAnsi="黑体" w:eastAsia="黑体" w:cs="Times New Roman"/>
          <w:bCs/>
          <w:sz w:val="32"/>
          <w:szCs w:val="32"/>
          <w:lang w:val="en-US" w:eastAsia="zh-CN"/>
        </w:rPr>
        <w:t>联系电话</w:t>
      </w:r>
      <w:r>
        <w:rPr>
          <w:rFonts w:hint="eastAsia" w:ascii="黑体" w:hAnsi="宋体" w:eastAsia="黑体"/>
          <w:bCs/>
          <w:sz w:val="32"/>
          <w:szCs w:val="32"/>
        </w:rPr>
        <w:t>：</w:t>
      </w:r>
      <w:r>
        <w:rPr>
          <w:rFonts w:hint="eastAsia" w:ascii="黑体" w:hAnsi="宋体" w:eastAsia="黑体"/>
          <w:bCs/>
          <w:sz w:val="32"/>
          <w:szCs w:val="32"/>
          <w:u w:val="single"/>
        </w:rPr>
        <w:t xml:space="preserve">   </w:t>
      </w:r>
      <w:r>
        <w:rPr>
          <w:rFonts w:hint="eastAsia" w:ascii="黑体" w:hAnsi="宋体" w:eastAsia="黑体"/>
          <w:bCs/>
          <w:sz w:val="32"/>
          <w:szCs w:val="32"/>
          <w:u w:val="single"/>
          <w:lang w:val="en-US" w:eastAsia="zh-CN"/>
        </w:rPr>
        <w:t xml:space="preserve">  </w:t>
      </w:r>
      <w:r>
        <w:rPr>
          <w:rFonts w:hint="eastAsia" w:ascii="黑体" w:hAnsi="宋体" w:eastAsia="黑体"/>
          <w:bCs/>
          <w:sz w:val="32"/>
          <w:szCs w:val="32"/>
          <w:u w:val="single"/>
        </w:rPr>
        <w:t xml:space="preserve"> </w:t>
      </w:r>
      <w:r>
        <w:rPr>
          <w:rFonts w:hint="eastAsia" w:ascii="黑体" w:hAnsi="宋体" w:eastAsia="黑体"/>
          <w:bCs/>
          <w:sz w:val="32"/>
          <w:szCs w:val="32"/>
          <w:u w:val="single"/>
          <w:lang w:val="en-US" w:eastAsia="zh-CN"/>
        </w:rPr>
        <w:t xml:space="preserve">      </w:t>
      </w:r>
      <w:bookmarkStart w:id="2" w:name="_GoBack"/>
      <w:bookmarkEnd w:id="2"/>
      <w:r>
        <w:rPr>
          <w:rFonts w:hint="eastAsia" w:ascii="黑体" w:hAnsi="宋体" w:eastAsia="黑体"/>
          <w:bCs/>
          <w:sz w:val="32"/>
          <w:szCs w:val="32"/>
          <w:u w:val="single"/>
          <w:lang w:val="en-US" w:eastAsia="zh-CN"/>
        </w:rPr>
        <w:t xml:space="preserve">            </w:t>
      </w:r>
      <w:r>
        <w:rPr>
          <w:rFonts w:hint="eastAsia" w:ascii="黑体" w:hAnsi="宋体" w:eastAsia="黑体"/>
          <w:bCs/>
          <w:sz w:val="32"/>
          <w:szCs w:val="32"/>
          <w:u w:val="single"/>
        </w:rPr>
        <w:t xml:space="preserve">          </w:t>
      </w: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before="156" w:beforeLines="50" w:line="480" w:lineRule="auto"/>
        <w:jc w:val="center"/>
        <w:rPr>
          <w:rFonts w:ascii="黑体" w:hAnsi="黑体" w:eastAsia="黑体"/>
          <w:bCs/>
          <w:sz w:val="32"/>
          <w:szCs w:val="32"/>
        </w:rPr>
      </w:pPr>
      <w:r>
        <w:rPr>
          <w:rFonts w:hint="eastAsia" w:ascii="黑体" w:hAnsi="黑体" w:eastAsia="黑体"/>
          <w:bCs/>
          <w:sz w:val="32"/>
          <w:szCs w:val="32"/>
        </w:rPr>
        <w:t>编制日期：202</w:t>
      </w:r>
      <w:r>
        <w:rPr>
          <w:rFonts w:hint="eastAsia" w:ascii="黑体" w:hAnsi="黑体" w:eastAsia="黑体"/>
          <w:bCs/>
          <w:sz w:val="32"/>
          <w:szCs w:val="32"/>
          <w:lang w:val="en-US" w:eastAsia="zh-CN"/>
        </w:rPr>
        <w:t>6</w:t>
      </w:r>
      <w:r>
        <w:rPr>
          <w:rFonts w:hint="eastAsia" w:ascii="黑体" w:hAnsi="黑体" w:eastAsia="黑体"/>
          <w:bCs/>
          <w:sz w:val="32"/>
          <w:szCs w:val="32"/>
        </w:rPr>
        <w:t>年</w:t>
      </w:r>
      <w:r>
        <w:rPr>
          <w:rFonts w:hint="eastAsia" w:ascii="黑体" w:hAnsi="黑体" w:eastAsia="黑体"/>
          <w:bCs/>
          <w:sz w:val="32"/>
          <w:szCs w:val="32"/>
          <w:lang w:val="en-US" w:eastAsia="zh-CN"/>
        </w:rPr>
        <w:t>7</w:t>
      </w:r>
      <w:r>
        <w:rPr>
          <w:rFonts w:hint="eastAsia" w:ascii="黑体" w:hAnsi="黑体" w:eastAsia="黑体"/>
          <w:bCs/>
          <w:sz w:val="32"/>
          <w:szCs w:val="32"/>
        </w:rPr>
        <w:t>月</w:t>
      </w:r>
    </w:p>
    <w:p>
      <w:pPr>
        <w:ind w:firstLine="640" w:firstLineChars="200"/>
        <w:jc w:val="center"/>
        <w:rPr>
          <w:rFonts w:ascii="黑体" w:hAnsi="黑体" w:eastAsia="黑体" w:cs="黑体"/>
          <w:sz w:val="32"/>
          <w:szCs w:val="32"/>
          <w:lang w:val="zh-CN"/>
        </w:rPr>
      </w:pPr>
    </w:p>
    <w:p>
      <w:pPr>
        <w:spacing w:line="240" w:lineRule="atLeast"/>
        <w:rPr>
          <w:rFonts w:ascii="黑体" w:hAnsi="黑体" w:eastAsia="黑体" w:cs="黑体"/>
          <w:sz w:val="24"/>
          <w:szCs w:val="24"/>
        </w:rPr>
        <w:sectPr>
          <w:footerReference r:id="rId3" w:type="default"/>
          <w:pgSz w:w="11906" w:h="16838"/>
          <w:pgMar w:top="1440" w:right="1800" w:bottom="1440" w:left="1800" w:header="851" w:footer="992" w:gutter="0"/>
          <w:pgNumType w:start="1"/>
          <w:cols w:space="425" w:num="1"/>
          <w:docGrid w:type="lines" w:linePitch="312" w:charSpace="0"/>
        </w:sectPr>
      </w:pPr>
    </w:p>
    <w:p>
      <w:pPr>
        <w:pStyle w:val="3"/>
        <w:numPr>
          <w:ilvl w:val="0"/>
          <w:numId w:val="0"/>
        </w:numPr>
        <w:spacing w:line="240" w:lineRule="auto"/>
        <w:rPr>
          <w:rFonts w:hint="default" w:eastAsia="黑体"/>
          <w:b w:val="0"/>
          <w:bCs w:val="0"/>
          <w:sz w:val="28"/>
          <w:szCs w:val="28"/>
          <w:lang w:val="en-US" w:eastAsia="zh-CN"/>
        </w:rPr>
      </w:pPr>
      <w:bookmarkStart w:id="0" w:name="_Toc11664"/>
      <w:r>
        <w:rPr>
          <w:rFonts w:hint="eastAsia" w:eastAsia="黑体"/>
          <w:b w:val="0"/>
          <w:bCs w:val="0"/>
          <w:sz w:val="28"/>
          <w:szCs w:val="28"/>
          <w:lang w:val="en-US" w:eastAsia="zh-CN"/>
        </w:rPr>
        <w:t xml:space="preserve">第一章 </w:t>
      </w:r>
      <w:r>
        <w:rPr>
          <w:rFonts w:eastAsia="黑体"/>
          <w:b w:val="0"/>
          <w:bCs w:val="0"/>
          <w:sz w:val="28"/>
          <w:szCs w:val="28"/>
        </w:rPr>
        <w:t>项目概述</w:t>
      </w:r>
      <w:bookmarkEnd w:id="0"/>
      <w:r>
        <w:rPr>
          <w:rFonts w:hint="eastAsia" w:eastAsia="黑体"/>
          <w:b w:val="0"/>
          <w:bCs w:val="0"/>
          <w:sz w:val="28"/>
          <w:szCs w:val="28"/>
          <w:lang w:val="en-US" w:eastAsia="zh-CN"/>
        </w:rPr>
        <w:t>与建设意义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项目背景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国务院办公厅关于推动公立医院高质量发展的意见》（国办发〔2021〕18号）指出，公立医院运行模式需要从粗放管理转向精细化管理。采购管理作为医院运营管理的基础性工作，对医院的高质量发展具有举足轻重的作用。在“粗放式管理”向“精益化管理”转变的过程中，医院采购管理，面临一系列问题和挑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在各种不确定性因素的冲击下，保障医院物资供应的稳定和韧性，并适度降低采购成本。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加强采购管理与医院临床业务的衔接，更有效的满足临床业务实际需求。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改变以经验为主的管理决策方式，建立采购与供应链全流程的数据运行体系。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加强医院采购廉洁监管手段，提高医院采购腐败治理水平，降低医院招标采购业务风险。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基于以上背景，医院拟开发建设一套数字化采购管理系统，助力医院应对上述问题和挑战。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二、项目建设的意义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首先，从业务执行层面，本项目有助于实现医院监督管理部门、归口管理部门、招标采购部门、评审专家及供应商等相关方的高效协同，简化采购流程，提高采购效率，降低采购成本。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其次，从风险控制层面，本项目建成后可实现全流程的数字化采购业务执行及监督，可以促进医院采购廉政风险防控建设，有效预防和控制采购风险。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再次，从系统建设层面，本项目是医院整体信息化建设的重要组成部分，有助于促进医院向“智慧医院”转型，增强医院核心竞争力。</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需求分析</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目前我院存在采购流程仍以人工操作为主，缺乏全流程数字化管理；供应商管理、采购过程控制等环节信息化程度不足；数据孤岛现象存在，与医院其他信息系统整合度不高等问题。此外，在核心管理环节还存在以下短板：一是采购立项与专家评标管理不完善，采购立项缺乏标准化流程，立项材料提交不规范、审批依据不明确，易出现与预算脱节、不符合医院发展需求的情况，且专家评标未实现盲评，易受供应商身份、品牌等非核心因素干扰，难以保障评标公平性；二是采购信息系统模块覆盖不全面，现有管理模式未形成预算、采购、合同、供应、资产、支付的全链条信息化管控，各环节数据分散在人工台账或独立小系统中，如预算执行数据无法实时同步至采购环节、资产验收信息与合同履约情况脱节、支付环节需人工核对多环节资料，导致管理效率低、风险管控存在漏洞。</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推动采购管理数字化转型，覆盖采购立项、需求申请、采购过程、合同管理、供应管控、资产管理、支付结算到档案归档的全流程，减少人工干预，提升整体效率；引入智慧化采购管理信息化系统，保障评标过程公平公正，提升评标结果科学性。</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构建全模块覆盖的采购信息系统，包含预算管理、采购管理、合同管理、供应管理、资产管理、支付管理六大核心模块，实现各模块数据互联互通，打破信息孤岛，形成 “预算 - 采购 - 合同 - 供应 - 资产 - 支付” 闭环管控。</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建立完善采购内控智慧化信息化</w:t>
      </w:r>
      <w:r>
        <w:rPr>
          <w:rFonts w:hint="eastAsia" w:ascii="仿宋" w:hAnsi="仿宋" w:eastAsia="仿宋" w:cs="仿宋"/>
          <w:sz w:val="24"/>
          <w:szCs w:val="24"/>
          <w:lang w:val="en-US" w:eastAsia="zh-CN"/>
        </w:rPr>
        <w:t>智能化</w:t>
      </w:r>
      <w:r>
        <w:rPr>
          <w:rFonts w:hint="eastAsia" w:ascii="仿宋" w:hAnsi="仿宋" w:eastAsia="仿宋" w:cs="仿宋"/>
          <w:sz w:val="24"/>
          <w:szCs w:val="24"/>
        </w:rPr>
        <w:t>系统，将采购过程数字化监管纳入智慧医疗建设内容，针对采购过程中的价格异常、流程异常、立项不合规、评标不公正、模块数据不通等问题建立系统自动预警机制，实现全流程识别采购管理风险，推动监管模式由被动监管向主动监管转变、由 “事后追责” 向 “事前预防” 转变。</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系统需提供数据分析功能，自动生成各类报表，帮助医院管理层优化采购策略、控制成本；与医院现有的企业微信、医院官网、电子签章、财务预算等系统无缝集成，实现数据共享；具备严谨的权限管理、角色管理，保障数据安全；支持移动端操作，方便采购人员随时随地处理采购事务，提升工作效率。</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通过智慧化数字</w:t>
      </w:r>
      <w:r>
        <w:rPr>
          <w:rFonts w:hint="eastAsia" w:ascii="仿宋" w:hAnsi="仿宋" w:eastAsia="仿宋" w:cs="仿宋"/>
          <w:sz w:val="24"/>
          <w:szCs w:val="24"/>
          <w:lang w:val="en-US" w:eastAsia="zh-CN"/>
        </w:rPr>
        <w:t>+AI</w:t>
      </w:r>
      <w:r>
        <w:rPr>
          <w:rFonts w:hint="eastAsia" w:ascii="仿宋" w:hAnsi="仿宋" w:eastAsia="仿宋" w:cs="仿宋"/>
          <w:sz w:val="24"/>
          <w:szCs w:val="24"/>
        </w:rPr>
        <w:t>手段，医院可实现采购流程的自动化、透明化和可追溯性，规范全模块管理与关键环节管控，提升整体采购管理水平，降低采购成本，为医院智慧化建设提供必要支撑。</w:t>
      </w:r>
    </w:p>
    <w:p>
      <w:pPr>
        <w:spacing w:after="0" w:line="360" w:lineRule="auto"/>
        <w:ind w:firstLine="482" w:firstLineChars="200"/>
        <w:rPr>
          <w:rFonts w:hint="eastAsia" w:ascii="仿宋" w:hAnsi="仿宋" w:eastAsia="仿宋" w:cs="仿宋"/>
          <w:b/>
          <w:sz w:val="24"/>
          <w:szCs w:val="24"/>
        </w:rPr>
      </w:pPr>
    </w:p>
    <w:p>
      <w:pPr>
        <w:pStyle w:val="5"/>
        <w:numPr>
          <w:ilvl w:val="0"/>
          <w:numId w:val="0"/>
        </w:numPr>
        <w:rPr>
          <w:rFonts w:hint="eastAsia" w:ascii="仿宋" w:hAnsi="仿宋" w:eastAsia="仿宋" w:cs="仿宋"/>
        </w:rPr>
      </w:pPr>
      <w:r>
        <w:rPr>
          <w:rFonts w:hint="eastAsia" w:ascii="仿宋" w:hAnsi="仿宋" w:eastAsia="仿宋" w:cs="仿宋"/>
          <w:lang w:val="en-US" w:eastAsia="zh-CN"/>
        </w:rPr>
        <w:t>第二章、</w:t>
      </w:r>
      <w:r>
        <w:rPr>
          <w:rFonts w:hint="eastAsia" w:ascii="仿宋" w:hAnsi="仿宋" w:eastAsia="仿宋" w:cs="仿宋"/>
        </w:rPr>
        <w:t>项目建设目标</w:t>
      </w:r>
    </w:p>
    <w:p>
      <w:pPr>
        <w:pStyle w:val="5"/>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项目建设周期</w:t>
      </w:r>
    </w:p>
    <w:p>
      <w:pPr>
        <w:pStyle w:val="5"/>
        <w:numPr>
          <w:ilvl w:val="0"/>
          <w:numId w:val="0"/>
        </w:numPr>
        <w:spacing w:line="240" w:lineRule="auto"/>
        <w:ind w:firstLine="240" w:firstLineChars="100"/>
        <w:rPr>
          <w:rFonts w:hint="eastAsia" w:ascii="仿宋" w:hAnsi="仿宋" w:eastAsia="仿宋" w:cs="仿宋"/>
          <w:b w:val="0"/>
          <w:bCs w:val="0"/>
          <w:sz w:val="24"/>
          <w:szCs w:val="24"/>
        </w:rPr>
      </w:pPr>
      <w:r>
        <w:rPr>
          <w:rFonts w:hint="eastAsia" w:ascii="仿宋" w:hAnsi="仿宋" w:eastAsia="仿宋" w:cs="仿宋"/>
          <w:b w:val="0"/>
          <w:bCs w:val="0"/>
          <w:sz w:val="24"/>
          <w:szCs w:val="24"/>
        </w:rPr>
        <w:t>总工期</w:t>
      </w: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 xml:space="preserve"> 个月，分为需求调研、设计开发、测试部署、上线试运行、验收运维五个阶段。</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项目建设目标</w:t>
      </w:r>
    </w:p>
    <w:p>
      <w:pPr>
        <w:pStyle w:val="12"/>
        <w:numPr>
          <w:ilvl w:val="0"/>
          <w:numId w:val="0"/>
        </w:numPr>
        <w:spacing w:line="240" w:lineRule="auto"/>
        <w:ind w:leftChars="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合规管控：实现药品、医用耗材、医疗设备、后勤物资、工程与服务全品类招采全流程线上化、留痕化、可追溯。</w:t>
      </w:r>
    </w:p>
    <w:p>
      <w:pPr>
        <w:pStyle w:val="12"/>
        <w:numPr>
          <w:ilvl w:val="0"/>
          <w:numId w:val="0"/>
        </w:numPr>
        <w:spacing w:line="240" w:lineRule="auto"/>
        <w:ind w:leftChars="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效率提升：不见面开标、智能评审、电子合同、履约闭环，流程周期缩短 40% 以上。</w:t>
      </w:r>
    </w:p>
    <w:p>
      <w:pPr>
        <w:pStyle w:val="12"/>
        <w:numPr>
          <w:ilvl w:val="0"/>
          <w:numId w:val="0"/>
        </w:numPr>
        <w:spacing w:line="240" w:lineRule="auto"/>
        <w:ind w:leftChars="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成本优化：公开比价、集中竞价、价格监测与异常预警，降低综合采购成本。</w:t>
      </w:r>
    </w:p>
    <w:p>
      <w:pPr>
        <w:pStyle w:val="12"/>
        <w:numPr>
          <w:ilvl w:val="0"/>
          <w:numId w:val="0"/>
        </w:numPr>
        <w:spacing w:line="240" w:lineRule="auto"/>
        <w:ind w:leftChars="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风险防控：权限分离、CA 认证、数据加密、全程审计，遏制围串标与廉政风险。</w:t>
      </w:r>
    </w:p>
    <w:p>
      <w:pPr>
        <w:pStyle w:val="12"/>
        <w:numPr>
          <w:ilvl w:val="0"/>
          <w:numId w:val="0"/>
        </w:numPr>
        <w:spacing w:line="240" w:lineRule="auto"/>
        <w:ind w:leftChars="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5</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互联互通：与医院 HIS、财务、资产、医保、SPD 及上级公共资源交易平台对接，数据同源、业务协同。</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项目建设内容与规模</w:t>
      </w:r>
    </w:p>
    <w:p>
      <w:pPr>
        <w:pStyle w:val="12"/>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平台门户与用户中心（供应商、科室、采购、财务、纪检、监督）</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采购需求与预算管理、立项审批</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全流程电子招投标（公告、文件、投标、开标、评标、定标、公示）</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多采购方式支撑（公开招标、邀请招标、竞争性磋商 / 谈判、询价、单一来源、院内比选）</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供应商管理与信用评价</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合同管理与履约验收</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rPr>
        <w:t>价格监测与智能比价</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大数据分析与决策看板</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w:t>
      </w:r>
      <w:r>
        <w:rPr>
          <w:rFonts w:hint="eastAsia" w:ascii="仿宋" w:hAnsi="仿宋" w:eastAsia="仿宋" w:cs="仿宋"/>
          <w:sz w:val="24"/>
          <w:szCs w:val="24"/>
        </w:rPr>
        <w:t>安全体系（CA、加密、日志、审计、备份）</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w:t>
      </w:r>
      <w:r>
        <w:rPr>
          <w:rFonts w:hint="eastAsia" w:ascii="仿宋" w:hAnsi="仿宋" w:eastAsia="仿宋" w:cs="仿宋"/>
          <w:sz w:val="24"/>
          <w:szCs w:val="24"/>
        </w:rPr>
        <w:t>系统集成接口与移动端</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投资估算与资金来源</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总投资：</w:t>
      </w:r>
      <w:r>
        <w:rPr>
          <w:rFonts w:hint="eastAsia" w:ascii="仿宋" w:hAnsi="仿宋" w:eastAsia="仿宋" w:cs="仿宋"/>
          <w:b/>
          <w:bCs/>
          <w:sz w:val="24"/>
          <w:szCs w:val="24"/>
          <w:lang w:val="en-US" w:eastAsia="zh-CN"/>
        </w:rPr>
        <w:t>98</w:t>
      </w:r>
      <w:r>
        <w:rPr>
          <w:rFonts w:hint="eastAsia" w:ascii="仿宋" w:hAnsi="仿宋" w:eastAsia="仿宋" w:cs="仿宋"/>
          <w:b/>
          <w:bCs/>
          <w:sz w:val="24"/>
          <w:szCs w:val="24"/>
        </w:rPr>
        <w:t>万元</w:t>
      </w:r>
      <w:r>
        <w:rPr>
          <w:rFonts w:hint="eastAsia" w:ascii="仿宋" w:hAnsi="仿宋" w:eastAsia="仿宋" w:cs="仿宋"/>
          <w:sz w:val="24"/>
          <w:szCs w:val="24"/>
        </w:rPr>
        <w:t>（软件定制、硬件与网络、安全、集成、实施、培训、运维）</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资金来源：医院信息化专项经费、财政补助资金</w:t>
      </w:r>
    </w:p>
    <w:p>
      <w:pPr>
        <w:pStyle w:val="12"/>
        <w:numPr>
          <w:ilvl w:val="0"/>
          <w:numId w:val="2"/>
        </w:numPr>
        <w:spacing w:line="240" w:lineRule="auto"/>
        <w:ind w:left="0" w:leftChars="0"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需求分析</w:t>
      </w:r>
    </w:p>
    <w:p>
      <w:pPr>
        <w:pStyle w:val="12"/>
        <w:numPr>
          <w:ilvl w:val="0"/>
          <w:numId w:val="0"/>
        </w:numPr>
        <w:spacing w:line="240" w:lineRule="auto"/>
        <w:ind w:leftChars="200"/>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一、项目需求</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1"/>
        <w:gridCol w:w="1488"/>
        <w:gridCol w:w="5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hint="eastAsia" w:ascii="仿宋" w:hAnsi="仿宋" w:eastAsia="仿宋"/>
                <w:sz w:val="24"/>
              </w:rPr>
            </w:pPr>
            <w:r>
              <w:rPr>
                <w:rFonts w:hint="eastAsia" w:ascii="仿宋" w:hAnsi="仿宋" w:eastAsia="仿宋"/>
                <w:sz w:val="24"/>
              </w:rPr>
              <w:t>序号</w:t>
            </w: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模块内容</w:t>
            </w:r>
          </w:p>
        </w:tc>
        <w:tc>
          <w:tcPr>
            <w:tcW w:w="583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ind w:left="0" w:leftChars="0" w:firstLine="919" w:firstLineChars="383"/>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技术选型要求</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0"/>
              </w:numPr>
              <w:spacing w:after="0" w:line="360" w:lineRule="auto"/>
              <w:jc w:val="both"/>
              <w:rPr>
                <w:rFonts w:hint="eastAsia" w:ascii="仿宋" w:hAnsi="仿宋" w:eastAsia="仿宋"/>
                <w:sz w:val="24"/>
              </w:rPr>
            </w:pP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本地化部署，兼容 Windows Server、龙蜥、麒麟、欧拉等国产化操作系统；适配 x86、ARM 硬件架构。</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支持离线部署，可通过安装包、虚拟机镜像等方式实现，不依赖公网下载组件。</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提供本地化监控工具（日志查看、性能监控面板）、配置管理界面，支持管理员独立操作。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按 “高内聚、低耦合” 原则拆分微服务，聚焦单一业务领域（采购需求、开标会议、合同签章、CA 认证等），避免过度依赖。</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适配私有云、混合云部署环境，支持 Docker+Kubernetes 容器化部署，支持微服务独立部署与版本迭代，单个服务升级、维护或故障不影响其他服务运行。。</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具备全链路追踪能力，支持服务日志集中收集、存储与查询；符合国家网络安全三级等保要求，配合等保测评及整改工作。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支持医院总部多分支机构部署使用。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安全要求</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按国家网络安全三级等保要求开展网络安全建设，提供包含总体规划、基本安全措施、安全建设工作计划的设计方案。</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★配合采购方完成等级保护测评，因系统程序漏洞导致的网络安全风险及整改需求，供应商需免费升级修补，验收前完成等保测评；需提供等保三级测评报告或有效合规证明文件。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lang w:val="en-US" w:eastAsia="zh-CN"/>
              </w:rPr>
              <w:t>系统</w:t>
            </w:r>
            <w:r>
              <w:rPr>
                <w:rFonts w:hint="eastAsia" w:ascii="仿宋" w:hAnsi="仿宋" w:eastAsia="仿宋"/>
                <w:sz w:val="24"/>
              </w:rPr>
              <w:t>门户</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●首页以智能化数据门户为核心，界面直观友好、操作简洁高效，UI 布局合理美观。</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展示内容包括采购预告、采购公告、变更公告、</w:t>
            </w:r>
            <w:r>
              <w:rPr>
                <w:rFonts w:hint="eastAsia" w:ascii="仿宋" w:hAnsi="仿宋" w:eastAsia="仿宋"/>
                <w:sz w:val="24"/>
                <w:lang w:val="en-US" w:eastAsia="zh-CN"/>
              </w:rPr>
              <w:t>采购结果公示</w:t>
            </w:r>
            <w:r>
              <w:rPr>
                <w:rFonts w:hint="eastAsia" w:ascii="仿宋" w:hAnsi="仿宋" w:eastAsia="仿宋"/>
                <w:sz w:val="24"/>
              </w:rPr>
              <w:t>、</w:t>
            </w:r>
            <w:r>
              <w:rPr>
                <w:rFonts w:hint="eastAsia" w:ascii="仿宋" w:hAnsi="仿宋" w:eastAsia="仿宋"/>
                <w:sz w:val="24"/>
                <w:lang w:val="en-US" w:eastAsia="zh-CN"/>
              </w:rPr>
              <w:t>法律法规</w:t>
            </w:r>
            <w:r>
              <w:rPr>
                <w:rFonts w:hint="eastAsia" w:ascii="仿宋" w:hAnsi="仿宋" w:eastAsia="仿宋"/>
                <w:sz w:val="24"/>
              </w:rPr>
              <w:t>、操作手册、相关下载、常见问题、技术支持、曝光台、轮播图、友情链接</w:t>
            </w:r>
            <w:r>
              <w:rPr>
                <w:rFonts w:hint="eastAsia" w:ascii="仿宋" w:hAnsi="仿宋" w:eastAsia="仿宋"/>
                <w:sz w:val="24"/>
                <w:lang w:eastAsia="zh-CN"/>
              </w:rPr>
              <w:t>、</w:t>
            </w:r>
            <w:r>
              <w:rPr>
                <w:rFonts w:hint="eastAsia" w:ascii="仿宋" w:hAnsi="仿宋" w:eastAsia="仿宋"/>
                <w:sz w:val="24"/>
                <w:lang w:val="en-US" w:eastAsia="zh-CN"/>
              </w:rPr>
              <w:t>意见反馈</w:t>
            </w:r>
            <w:r>
              <w:rPr>
                <w:rFonts w:hint="eastAsia" w:ascii="仿宋" w:hAnsi="仿宋" w:eastAsia="仿宋"/>
                <w:sz w:val="24"/>
              </w:rPr>
              <w:t>等模块。</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门户网站需支持关键字检索功能，用户可通过输入采购项目名称、公告类型、发布时间、关键字等信息，快速检索已发布的各类公告、政策法规等内容，检索结果需精准、高效，支持按发布时间、相关性等维度排序，提升信息获取效率。</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w:t>
            </w:r>
            <w:r>
              <w:rPr>
                <w:rFonts w:hint="eastAsia" w:ascii="仿宋" w:hAnsi="仿宋" w:eastAsia="仿宋"/>
                <w:sz w:val="24"/>
                <w:lang w:val="en-US" w:eastAsia="zh-CN"/>
              </w:rPr>
              <w:t>多院区、多科室</w:t>
            </w:r>
            <w:r>
              <w:rPr>
                <w:rFonts w:hint="eastAsia" w:ascii="仿宋" w:hAnsi="仿宋" w:eastAsia="仿宋"/>
                <w:sz w:val="24"/>
              </w:rPr>
              <w:t>组织架构，可通过后台配置角色与账户权限。</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支持供应商在线全流程注册准入，满足采供双方从不同的入口登录；</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cs="仿宋"/>
                <w:i w:val="0"/>
                <w:iCs w:val="0"/>
                <w:color w:val="000000"/>
                <w:kern w:val="0"/>
                <w:sz w:val="22"/>
                <w:szCs w:val="22"/>
                <w:u w:val="none"/>
                <w:lang w:val="en-US" w:eastAsia="zh-CN" w:bidi="ar"/>
              </w:rPr>
              <w:t>满足招标采购业务流程操作过程，根据项目发布时间自动生成项目日历，供应商可根据项目日历进行项目的查看。</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风格遵循</w:t>
            </w:r>
            <w:r>
              <w:rPr>
                <w:rFonts w:hint="eastAsia" w:ascii="仿宋" w:hAnsi="仿宋" w:eastAsia="仿宋"/>
                <w:sz w:val="24"/>
                <w:lang w:val="en-US" w:eastAsia="zh-CN"/>
              </w:rPr>
              <w:t>医院统一</w:t>
            </w:r>
            <w:r>
              <w:rPr>
                <w:rFonts w:hint="eastAsia" w:ascii="仿宋" w:hAnsi="仿宋" w:eastAsia="仿宋"/>
                <w:sz w:val="24"/>
              </w:rPr>
              <w:t>官网视觉规范，在色彩体系、版式布局、字体规范、图标风格等核心视觉元素上保持一致。</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cs="仿宋"/>
                <w:i w:val="0"/>
                <w:iCs w:val="0"/>
                <w:color w:val="000000"/>
                <w:kern w:val="0"/>
                <w:sz w:val="22"/>
                <w:szCs w:val="22"/>
                <w:u w:val="none"/>
                <w:lang w:val="en-US" w:eastAsia="zh-CN" w:bidi="ar"/>
              </w:rPr>
              <w:t>后台配置支持对所有公告类型、门户轮播图片、医院简介基础信息进行自主建设、维护门户网站栏目的自定义。</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采购工作台管理：</w:t>
            </w:r>
            <w:r>
              <w:rPr>
                <w:rFonts w:hint="eastAsia" w:ascii="仿宋" w:hAnsi="仿宋" w:eastAsia="仿宋"/>
                <w:sz w:val="24"/>
              </w:rPr>
              <w:t>全流程业务线上化管理，业务流程阶段性数据强关联，所有关键节点操作留痕处理，为部门领导、采购业务人员提供跟踪待办平台。</w:t>
            </w:r>
            <w:r>
              <w:rPr>
                <w:rFonts w:hint="eastAsia" w:ascii="仿宋" w:hAnsi="仿宋" w:eastAsia="仿宋"/>
                <w:sz w:val="24"/>
              </w:rPr>
              <w:br w:type="textWrapping"/>
            </w:r>
            <w:r>
              <w:rPr>
                <w:rFonts w:hint="eastAsia" w:ascii="仿宋" w:hAnsi="仿宋" w:eastAsia="仿宋"/>
                <w:sz w:val="24"/>
              </w:rPr>
              <w:t>具有采购订单提醒功能，使用科室提交采购需求计划后，系统提醒管理部门，及时查看计划并生成采购订单，以便通知供应商送货。</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cs="仿宋"/>
                <w:i w:val="0"/>
                <w:iCs w:val="0"/>
                <w:color w:val="000000"/>
                <w:kern w:val="0"/>
                <w:sz w:val="22"/>
                <w:szCs w:val="22"/>
                <w:u w:val="none"/>
                <w:lang w:val="en-US" w:eastAsia="zh-CN" w:bidi="ar"/>
              </w:rPr>
              <w:t>支持根据用户角色权限不同单独配置工作台模块及其权限。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default" w:ascii="仿宋" w:hAnsi="仿宋" w:eastAsia="仿宋"/>
                <w:sz w:val="24"/>
                <w:lang w:val="en-US"/>
              </w:rPr>
            </w:pPr>
            <w:r>
              <w:rPr>
                <w:rFonts w:hint="eastAsia" w:ascii="仿宋" w:hAnsi="仿宋" w:eastAsia="仿宋"/>
                <w:sz w:val="24"/>
                <w:highlight w:val="none"/>
              </w:rPr>
              <w:t>预算</w:t>
            </w:r>
            <w:r>
              <w:rPr>
                <w:rFonts w:hint="eastAsia" w:ascii="仿宋" w:hAnsi="仿宋" w:eastAsia="仿宋"/>
                <w:sz w:val="24"/>
                <w:highlight w:val="none"/>
                <w:lang w:val="en-US" w:eastAsia="zh-CN"/>
              </w:rPr>
              <w:t>全流程监督管理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w:t>
            </w:r>
            <w:r>
              <w:rPr>
                <w:rFonts w:hint="eastAsia" w:ascii="仿宋" w:hAnsi="仿宋" w:eastAsia="仿宋"/>
                <w:sz w:val="24"/>
                <w:lang w:val="en-US" w:eastAsia="zh-CN"/>
              </w:rPr>
              <w:t>对接财务预算系统，自动同步年度预算清单，同时支持手动</w:t>
            </w:r>
            <w:r>
              <w:rPr>
                <w:rFonts w:hint="eastAsia" w:ascii="仿宋" w:hAnsi="仿宋" w:eastAsia="仿宋"/>
                <w:sz w:val="24"/>
              </w:rPr>
              <w:t>上传与维护，可对接或批量导入采购需求并形成关联（占用、</w:t>
            </w:r>
            <w:r>
              <w:rPr>
                <w:rFonts w:hint="eastAsia" w:ascii="仿宋" w:hAnsi="仿宋" w:eastAsia="仿宋"/>
                <w:sz w:val="24"/>
                <w:lang w:val="en-US" w:eastAsia="zh-CN"/>
              </w:rPr>
              <w:t>合并、</w:t>
            </w:r>
            <w:r>
              <w:rPr>
                <w:rFonts w:hint="eastAsia" w:ascii="仿宋" w:hAnsi="仿宋" w:eastAsia="仿宋"/>
                <w:sz w:val="24"/>
              </w:rPr>
              <w:t>返还、部分返还）。</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已有预算项目之间的调整，包括已有预算调剂和新增预算调剂两种预算调剂类型。预算调剂应在预算管理系统中发起，经审批完成后同步至采购系统。涉及跨科室预算调剂或超限额采购的，系统需限制直接调用总预算，必须触发正式审批流程；审批通过后方可更新预算额度。</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支持采购预算项目全流程追踪溯源，可按照多级采购品目汇总采购项目、执行合同、付款开票等结构化信息。</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按采购执行情况实时扣减预算金额，统计预算执行情况，为采购项目提供数据支撑。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lang w:val="en-US" w:eastAsia="zh-CN"/>
              </w:rPr>
              <w:t>需求提报</w:t>
            </w:r>
            <w:r>
              <w:rPr>
                <w:rFonts w:hint="eastAsia" w:ascii="仿宋" w:hAnsi="仿宋" w:eastAsia="仿宋"/>
                <w:sz w:val="24"/>
              </w:rPr>
              <w:t>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w:t>
            </w:r>
            <w:r>
              <w:rPr>
                <w:rFonts w:hint="eastAsia" w:ascii="仿宋" w:hAnsi="仿宋" w:eastAsia="仿宋"/>
                <w:sz w:val="24"/>
                <w:lang w:val="en-US" w:eastAsia="zh-CN"/>
              </w:rPr>
              <w:t>科室</w:t>
            </w:r>
            <w:r>
              <w:rPr>
                <w:rFonts w:hint="eastAsia" w:ascii="仿宋" w:hAnsi="仿宋" w:eastAsia="仿宋"/>
                <w:sz w:val="24"/>
              </w:rPr>
              <w:t>需求提报：需求科室进行</w:t>
            </w:r>
            <w:r>
              <w:rPr>
                <w:rFonts w:hint="eastAsia" w:ascii="仿宋" w:hAnsi="仿宋" w:eastAsia="仿宋"/>
                <w:sz w:val="24"/>
                <w:lang w:val="en-US" w:eastAsia="zh-CN"/>
              </w:rPr>
              <w:t>需求</w:t>
            </w:r>
            <w:r>
              <w:rPr>
                <w:rFonts w:hint="eastAsia" w:ascii="仿宋" w:hAnsi="仿宋" w:eastAsia="仿宋"/>
                <w:sz w:val="24"/>
              </w:rPr>
              <w:t>提报，</w:t>
            </w:r>
            <w:r>
              <w:rPr>
                <w:rFonts w:hint="eastAsia" w:ascii="仿宋" w:hAnsi="仿宋" w:eastAsia="仿宋"/>
                <w:sz w:val="24"/>
                <w:lang w:val="en-US" w:eastAsia="zh-CN"/>
              </w:rPr>
              <w:t>支持年度计划，月度计划等批量计划清单提报。支持小额采购、</w:t>
            </w:r>
            <w:r>
              <w:rPr>
                <w:rFonts w:hint="eastAsia" w:ascii="仿宋" w:hAnsi="仿宋" w:eastAsia="仿宋"/>
                <w:sz w:val="24"/>
              </w:rPr>
              <w:t>临时</w:t>
            </w:r>
            <w:r>
              <w:rPr>
                <w:rFonts w:hint="eastAsia" w:ascii="仿宋" w:hAnsi="仿宋" w:eastAsia="仿宋"/>
                <w:sz w:val="24"/>
                <w:lang w:val="en-US" w:eastAsia="zh-CN"/>
              </w:rPr>
              <w:t>采购、</w:t>
            </w:r>
            <w:r>
              <w:rPr>
                <w:rFonts w:hint="eastAsia" w:ascii="仿宋" w:hAnsi="仿宋" w:eastAsia="仿宋"/>
                <w:sz w:val="24"/>
              </w:rPr>
              <w:t>紧急采购按模板</w:t>
            </w:r>
            <w:r>
              <w:rPr>
                <w:rFonts w:hint="eastAsia" w:ascii="仿宋" w:hAnsi="仿宋" w:eastAsia="仿宋"/>
                <w:sz w:val="24"/>
                <w:lang w:val="en-US" w:eastAsia="zh-CN"/>
              </w:rPr>
              <w:t>在线填报</w:t>
            </w:r>
            <w:r>
              <w:rPr>
                <w:rFonts w:hint="eastAsia" w:ascii="仿宋" w:hAnsi="仿宋" w:eastAsia="仿宋"/>
                <w:sz w:val="24"/>
              </w:rPr>
              <w:t>，需关联对应预算并填写金额；支持上传相关文档附件，可定向提交至归口管理部门人员，实现需求提报至审批的业务流转。</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审批及受理</w:t>
            </w:r>
            <w:r>
              <w:rPr>
                <w:rFonts w:hint="eastAsia" w:ascii="仿宋" w:hAnsi="仿宋" w:eastAsia="仿宋"/>
                <w:sz w:val="24"/>
              </w:rPr>
              <w:t>：支持审批级数自定义，可按组织结构人员选取、金额判断等设置审批条件；采购计划支持分派或指定负责人，负责人可进行受理、转派、驳回操作。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w:t>
            </w:r>
            <w:r>
              <w:rPr>
                <w:rFonts w:hint="eastAsia" w:ascii="仿宋" w:hAnsi="仿宋" w:eastAsia="仿宋"/>
                <w:sz w:val="24"/>
                <w:lang w:val="en-US" w:eastAsia="zh-CN"/>
              </w:rPr>
              <w:t>需求</w:t>
            </w:r>
            <w:r>
              <w:rPr>
                <w:rFonts w:hint="eastAsia" w:ascii="仿宋" w:hAnsi="仿宋" w:eastAsia="仿宋"/>
                <w:sz w:val="24"/>
              </w:rPr>
              <w:t>计划跟踪：展示</w:t>
            </w:r>
            <w:r>
              <w:rPr>
                <w:rFonts w:hint="eastAsia" w:ascii="仿宋" w:hAnsi="仿宋" w:eastAsia="仿宋"/>
                <w:sz w:val="24"/>
                <w:lang w:val="en-US" w:eastAsia="zh-CN"/>
              </w:rPr>
              <w:t>需求</w:t>
            </w:r>
            <w:r>
              <w:rPr>
                <w:rFonts w:hint="eastAsia" w:ascii="仿宋" w:hAnsi="仿宋" w:eastAsia="仿宋"/>
                <w:sz w:val="24"/>
              </w:rPr>
              <w:t>提报、草稿、审批、分派、受理及采购执行节点与时间；支持通过待办、短信、系统集成方式推送大节点消息提醒。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支持需求提报的审批功能，支持审批级数自定义，支持审批人通过组织结构人员选取、金额判断等设置条件；计划分配支持采购计划分派或指定负责人，相关采购负责人对采购计划进行受理、转派、驳回操作。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展示计划跟踪功能，采购计划提报、草稿、审批、分派、受理和采购执行节点和时间显示，方便需求科室、监督和领导对执行节点进行查看，对大的执行节点支持通过待办、短信和系统集成方式进行消息推送。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lang w:val="en-US" w:eastAsia="zh-CN"/>
              </w:rPr>
              <w:t>方案征集</w:t>
            </w:r>
            <w:r>
              <w:rPr>
                <w:rFonts w:hint="eastAsia" w:ascii="仿宋" w:hAnsi="仿宋" w:eastAsia="仿宋"/>
                <w:sz w:val="24"/>
              </w:rPr>
              <w:t>调研</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市场调研：支持新建需求调查，包含调查标题、采购品类、调查日期、详细信息、相关附件等内容；可灵活设置调查问卷字段、选项、填写项及需上传的附件。</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需求调研发布后生成公告，展示于采购平台门户；供应商可在线报名、填写调研表格并上传</w:t>
            </w:r>
            <w:r>
              <w:rPr>
                <w:rFonts w:hint="eastAsia" w:ascii="仿宋" w:hAnsi="仿宋" w:eastAsia="仿宋"/>
                <w:sz w:val="24"/>
                <w:lang w:val="en-US" w:eastAsia="zh-CN"/>
              </w:rPr>
              <w:t>方案及相关</w:t>
            </w:r>
            <w:r>
              <w:rPr>
                <w:rFonts w:hint="eastAsia" w:ascii="仿宋" w:hAnsi="仿宋" w:eastAsia="仿宋"/>
                <w:sz w:val="24"/>
              </w:rPr>
              <w:t>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支持查看供应商报名情况及材料，形成相关档案；可进行暂停、重启调查、修改公告等操作；调研公告可对接医院官网、采购门户及第三方公告平台。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采购立项管理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支持在线提交采购立项申请，提供标准化模板，包含项目名称、立项依据（需关联医院战略规划文件、年度预算文件并上传）、采购需求描述、预算金额、项目周期、预期效益等必填字段。</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支持立项审核流程自定义配置，可按项目类型、预算金额设置多级审核节点；审核人员可在线查看材料、填写审核意见（同意 / 驳回 / 补充材料），驳回需明确原因。</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系统自动关联预算数据，校验立项申请预算金额与年度预算剩余额度，超出则触发预警。</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支持立项进度跟踪，申请人与监督人员可实时查看状态；审核节点变更时通过企业微信、短信自动推送提醒。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0" w:hRule="atLeast"/>
          <w:jc w:val="center"/>
        </w:trPr>
        <w:tc>
          <w:tcPr>
            <w:tcW w:w="1741" w:type="dxa"/>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院内非招采购（</w:t>
            </w:r>
            <w:r>
              <w:rPr>
                <w:rFonts w:hint="eastAsia" w:ascii="仿宋" w:hAnsi="仿宋" w:eastAsia="仿宋"/>
                <w:sz w:val="24"/>
                <w:lang w:val="en-US" w:eastAsia="zh-CN"/>
              </w:rPr>
              <w:t>询价/</w:t>
            </w:r>
            <w:r>
              <w:rPr>
                <w:rFonts w:hint="eastAsia" w:ascii="仿宋" w:hAnsi="仿宋" w:eastAsia="仿宋"/>
                <w:sz w:val="24"/>
              </w:rPr>
              <w:t>竞争性谈判/竞争性磋商）</w:t>
            </w:r>
          </w:p>
        </w:tc>
        <w:tc>
          <w:tcPr>
            <w:tcW w:w="5838" w:type="dxa"/>
            <w:tcBorders>
              <w:top w:val="single" w:color="auto" w:sz="4" w:space="0"/>
              <w:left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支持由审批通过的采购计划直接生成询比价项目（自动带入计划数据），可设置公开询价 / 邀请询价；项目审核通过后发布公告。</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支持调用预设采购方案或临时设置，采购方案包含公开范围、报价限制、截止时间、报价方案、采购单模板等；公开询价公告可同步至医院官网及第三方信息发布媒介，邀请询价可定向推送报价邀请。</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供应商可在线查看澄清与回复、进行报价；采购方可查看报价响应情况；开标时间到达后可在线开标，集成视频视频会议系统，一键生成报价一览表。</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支持在线多轮议价，系统完整记录每次报价行为；支持在线定标，定标结果审批后生效。</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项目完成内部定标审批后，自动展示中标公告并推送消息；支持项目组成员、监督及审计人员查看审查；已完成项目可查看过程信息、打印、导出相关内容。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default" w:ascii="仿宋" w:hAnsi="仿宋" w:eastAsia="仿宋"/>
                <w:sz w:val="24"/>
                <w:lang w:val="en-US" w:eastAsia="zh-CN"/>
              </w:rPr>
            </w:pPr>
            <w:r>
              <w:rPr>
                <w:rFonts w:hint="eastAsia" w:ascii="仿宋" w:hAnsi="仿宋" w:eastAsia="仿宋"/>
                <w:sz w:val="24"/>
              </w:rPr>
              <w:t>院内</w:t>
            </w:r>
            <w:r>
              <w:rPr>
                <w:rFonts w:hint="eastAsia" w:ascii="仿宋" w:hAnsi="仿宋" w:eastAsia="仿宋"/>
                <w:sz w:val="24"/>
                <w:lang w:val="en-US" w:eastAsia="zh-CN"/>
              </w:rPr>
              <w:t>自主招标</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▲●院内招标：支持</w:t>
            </w:r>
            <w:r>
              <w:rPr>
                <w:rFonts w:hint="eastAsia" w:ascii="仿宋" w:hAnsi="仿宋" w:eastAsia="仿宋"/>
                <w:sz w:val="24"/>
                <w:lang w:val="en-US" w:eastAsia="zh-CN"/>
              </w:rPr>
              <w:t>根据</w:t>
            </w:r>
            <w:r>
              <w:rPr>
                <w:rFonts w:hint="eastAsia" w:ascii="仿宋" w:hAnsi="仿宋" w:eastAsia="仿宋"/>
                <w:sz w:val="24"/>
              </w:rPr>
              <w:t>采购计划</w:t>
            </w:r>
            <w:r>
              <w:rPr>
                <w:rFonts w:hint="eastAsia" w:ascii="仿宋" w:hAnsi="仿宋" w:eastAsia="仿宋"/>
                <w:sz w:val="24"/>
                <w:lang w:val="en-US" w:eastAsia="zh-CN"/>
              </w:rPr>
              <w:t>审批结果，流转</w:t>
            </w:r>
            <w:r>
              <w:rPr>
                <w:rFonts w:hint="eastAsia" w:ascii="仿宋" w:hAnsi="仿宋" w:eastAsia="仿宋"/>
                <w:sz w:val="24"/>
              </w:rPr>
              <w:t>生成招标项目（自动带入</w:t>
            </w:r>
            <w:r>
              <w:rPr>
                <w:rFonts w:hint="eastAsia" w:ascii="仿宋" w:hAnsi="仿宋" w:eastAsia="仿宋"/>
                <w:sz w:val="24"/>
                <w:lang w:val="en-US" w:eastAsia="zh-CN"/>
              </w:rPr>
              <w:t>需求计划</w:t>
            </w:r>
            <w:r>
              <w:rPr>
                <w:rFonts w:hint="eastAsia" w:ascii="仿宋" w:hAnsi="仿宋" w:eastAsia="仿宋"/>
                <w:sz w:val="24"/>
              </w:rPr>
              <w:t>数据），按模板编辑</w:t>
            </w:r>
            <w:r>
              <w:rPr>
                <w:rFonts w:hint="eastAsia" w:ascii="仿宋" w:hAnsi="仿宋" w:eastAsia="仿宋"/>
                <w:sz w:val="24"/>
                <w:lang w:val="en-US" w:eastAsia="zh-CN"/>
              </w:rPr>
              <w:t>自动生成</w:t>
            </w:r>
            <w:r>
              <w:rPr>
                <w:rFonts w:hint="eastAsia" w:ascii="仿宋" w:hAnsi="仿宋" w:eastAsia="仿宋"/>
                <w:sz w:val="24"/>
              </w:rPr>
              <w:t>采购公告信息、</w:t>
            </w:r>
            <w:r>
              <w:rPr>
                <w:rFonts w:hint="eastAsia" w:ascii="仿宋" w:hAnsi="仿宋" w:eastAsia="仿宋"/>
                <w:sz w:val="24"/>
                <w:lang w:val="en-US" w:eastAsia="zh-CN"/>
              </w:rPr>
              <w:t>采购公告审批、</w:t>
            </w:r>
            <w:r>
              <w:rPr>
                <w:rFonts w:hint="eastAsia" w:ascii="仿宋" w:hAnsi="仿宋" w:eastAsia="仿宋"/>
                <w:sz w:val="24"/>
              </w:rPr>
              <w:t>采购公告发布挂网、供应商线上报名报价、投标文件在线签章和上传，线上开标、专家线上评标、</w:t>
            </w:r>
            <w:r>
              <w:rPr>
                <w:rFonts w:hint="eastAsia" w:ascii="仿宋" w:hAnsi="仿宋" w:eastAsia="仿宋"/>
                <w:sz w:val="24"/>
                <w:lang w:val="en-US" w:eastAsia="zh-CN"/>
              </w:rPr>
              <w:t>结果过会、在线</w:t>
            </w:r>
            <w:r>
              <w:rPr>
                <w:rFonts w:hint="eastAsia" w:ascii="仿宋" w:hAnsi="仿宋" w:eastAsia="仿宋"/>
                <w:sz w:val="24"/>
              </w:rPr>
              <w:t>定标、</w:t>
            </w:r>
            <w:r>
              <w:rPr>
                <w:rFonts w:hint="eastAsia" w:ascii="仿宋" w:hAnsi="仿宋" w:eastAsia="仿宋"/>
                <w:sz w:val="24"/>
                <w:lang w:val="en-US" w:eastAsia="zh-CN"/>
              </w:rPr>
              <w:t>线上发送成交通知书、</w:t>
            </w:r>
            <w:r>
              <w:rPr>
                <w:rFonts w:hint="eastAsia" w:ascii="仿宋" w:hAnsi="仿宋" w:eastAsia="仿宋"/>
                <w:sz w:val="24"/>
              </w:rPr>
              <w:t>发布</w:t>
            </w:r>
            <w:r>
              <w:rPr>
                <w:rFonts w:hint="eastAsia" w:ascii="仿宋" w:hAnsi="仿宋" w:eastAsia="仿宋"/>
                <w:sz w:val="24"/>
                <w:lang w:val="en-US" w:eastAsia="zh-CN"/>
              </w:rPr>
              <w:t>结果公示</w:t>
            </w:r>
            <w:r>
              <w:rPr>
                <w:rFonts w:hint="eastAsia" w:ascii="仿宋" w:hAnsi="仿宋" w:eastAsia="仿宋"/>
                <w:sz w:val="24"/>
              </w:rPr>
              <w:t>、归档等流程节点</w:t>
            </w:r>
            <w:r>
              <w:rPr>
                <w:rFonts w:hint="eastAsia" w:ascii="仿宋" w:hAnsi="仿宋" w:eastAsia="仿宋"/>
                <w:sz w:val="24"/>
                <w:lang w:eastAsia="zh-CN"/>
              </w:rPr>
              <w:t>。</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基于采购计划内容、</w:t>
            </w:r>
            <w:r>
              <w:rPr>
                <w:rFonts w:hint="eastAsia" w:ascii="仿宋" w:hAnsi="仿宋" w:eastAsia="仿宋"/>
                <w:sz w:val="24"/>
                <w:lang w:val="en-US" w:eastAsia="zh-CN"/>
              </w:rPr>
              <w:t>项目</w:t>
            </w:r>
            <w:r>
              <w:rPr>
                <w:rFonts w:hint="eastAsia" w:ascii="仿宋" w:hAnsi="仿宋" w:eastAsia="仿宋"/>
                <w:sz w:val="24"/>
              </w:rPr>
              <w:t>信息和招标文件模板，自动生成招标文件，</w:t>
            </w:r>
            <w:r>
              <w:rPr>
                <w:rFonts w:hint="eastAsia" w:ascii="仿宋" w:hAnsi="仿宋" w:eastAsia="仿宋"/>
                <w:sz w:val="24"/>
                <w:lang w:val="en-US" w:eastAsia="zh-CN"/>
              </w:rPr>
              <w:t>支持在线审核通过后，</w:t>
            </w:r>
            <w:r>
              <w:rPr>
                <w:rFonts w:hint="eastAsia" w:ascii="仿宋" w:hAnsi="仿宋" w:eastAsia="仿宋"/>
                <w:sz w:val="24"/>
              </w:rPr>
              <w:t>通过系统发送报名通过的供应商。</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w:t>
            </w:r>
            <w:r>
              <w:rPr>
                <w:rFonts w:hint="eastAsia" w:ascii="仿宋" w:hAnsi="仿宋" w:eastAsia="仿宋"/>
                <w:sz w:val="24"/>
                <w:lang w:val="en-US" w:eastAsia="zh-CN"/>
              </w:rPr>
              <w:t>项目全</w:t>
            </w:r>
            <w:r>
              <w:rPr>
                <w:rFonts w:hint="eastAsia" w:ascii="仿宋" w:hAnsi="仿宋" w:eastAsia="仿宋"/>
                <w:sz w:val="24"/>
              </w:rPr>
              <w:t>过程监督、审批、文件上传、下载、发布澄清公告，数据统计等功能操作。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支持公开招标、</w:t>
            </w:r>
            <w:r>
              <w:rPr>
                <w:rFonts w:hint="eastAsia" w:ascii="仿宋" w:hAnsi="仿宋" w:eastAsia="仿宋"/>
                <w:sz w:val="24"/>
                <w:lang w:val="en-US" w:eastAsia="zh-CN"/>
              </w:rPr>
              <w:t>比选、</w:t>
            </w:r>
            <w:r>
              <w:rPr>
                <w:rFonts w:hint="eastAsia" w:ascii="仿宋" w:hAnsi="仿宋" w:eastAsia="仿宋"/>
                <w:sz w:val="24"/>
              </w:rPr>
              <w:t>邀请招标</w:t>
            </w:r>
            <w:r>
              <w:rPr>
                <w:rFonts w:hint="eastAsia" w:ascii="仿宋" w:hAnsi="仿宋" w:eastAsia="仿宋"/>
                <w:sz w:val="24"/>
                <w:lang w:eastAsia="zh-CN"/>
              </w:rPr>
              <w:t>、</w:t>
            </w:r>
            <w:r>
              <w:rPr>
                <w:rFonts w:hint="eastAsia" w:ascii="仿宋" w:hAnsi="仿宋" w:eastAsia="仿宋"/>
                <w:sz w:val="24"/>
                <w:lang w:val="en-US" w:eastAsia="zh-CN"/>
              </w:rPr>
              <w:t>单一来源等多种采购方式</w:t>
            </w:r>
            <w:r>
              <w:rPr>
                <w:rFonts w:hint="eastAsia" w:ascii="仿宋" w:hAnsi="仿宋" w:eastAsia="仿宋"/>
                <w:sz w:val="24"/>
              </w:rPr>
              <w:t>。</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支持货物、工程、服务全品目采购。可自定义不同品目的产品结构化双报价清单和产品基础信息清单。</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设定项目组成员。支持对采购方案中设置的评分项和评分细则进行设定；支持设定开标时间。设置权限管理。项目提交审核（支持短信、微信、邮件消息发送通知审核人），审核通过正式对外发布。审核通过后项目正式在采购门户网站中展现</w:t>
            </w:r>
            <w:r>
              <w:rPr>
                <w:rFonts w:hint="eastAsia" w:ascii="仿宋" w:hAnsi="仿宋" w:eastAsia="仿宋"/>
                <w:sz w:val="24"/>
                <w:lang w:eastAsia="zh-CN"/>
              </w:rPr>
              <w:t>。</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w:t>
            </w:r>
            <w:r>
              <w:rPr>
                <w:rFonts w:hint="eastAsia" w:ascii="仿宋" w:hAnsi="仿宋" w:eastAsia="仿宋"/>
                <w:sz w:val="24"/>
              </w:rPr>
              <w:t>采购公告对接至医院官网及第三方公告服务平台。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项目看板：项目看板需以可视化形式串联采购活动全流程，核心是让采购人员、采购领导、审计监督人员等快速掌握采购活动状态、负责人及进度的同时便于采购人员便捷性操作。展示信息包括但不限于采购阶段、采购公告发布、招标文件编制、变更公告发布、邀请供应商、保证金管理、</w:t>
            </w:r>
            <w:r>
              <w:rPr>
                <w:rFonts w:hint="eastAsia" w:ascii="仿宋" w:hAnsi="仿宋" w:eastAsia="仿宋"/>
                <w:sz w:val="24"/>
                <w:lang w:val="en-US" w:eastAsia="zh-CN"/>
              </w:rPr>
              <w:t>在线</w:t>
            </w:r>
            <w:r>
              <w:rPr>
                <w:rFonts w:hint="eastAsia" w:ascii="仿宋" w:hAnsi="仿宋" w:eastAsia="仿宋"/>
                <w:sz w:val="24"/>
              </w:rPr>
              <w:t>开标管理、定标管理、展示已投标供应商</w:t>
            </w:r>
            <w:r>
              <w:rPr>
                <w:rFonts w:hint="eastAsia" w:ascii="仿宋" w:hAnsi="仿宋" w:eastAsia="仿宋"/>
                <w:sz w:val="24"/>
                <w:lang w:eastAsia="zh-CN"/>
              </w:rPr>
              <w:t>（</w:t>
            </w:r>
            <w:r>
              <w:rPr>
                <w:rFonts w:hint="eastAsia" w:ascii="仿宋" w:hAnsi="仿宋" w:eastAsia="仿宋"/>
                <w:sz w:val="24"/>
                <w:lang w:val="en-US" w:eastAsia="zh-CN"/>
              </w:rPr>
              <w:t>已开标项目</w:t>
            </w:r>
            <w:r>
              <w:rPr>
                <w:rFonts w:hint="eastAsia" w:ascii="仿宋" w:hAnsi="仿宋" w:eastAsia="仿宋"/>
                <w:sz w:val="24"/>
                <w:lang w:eastAsia="zh-CN"/>
              </w:rPr>
              <w:t>）</w:t>
            </w:r>
            <w:r>
              <w:rPr>
                <w:rFonts w:hint="eastAsia" w:ascii="仿宋" w:hAnsi="仿宋" w:eastAsia="仿宋"/>
                <w:sz w:val="24"/>
              </w:rPr>
              <w:t>、和拟定评标专家信息等。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为保证比选过程公平公正，对供应商在线的报价数据需进行数据加密，保证在报价时间截止前任何人均无法查看供应商报价的具体信息。报价时间截止后，供应商不可再报价，并且报价数据任何人无法进行修改。</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投标截止时间前，支持供应商在线按报价模板进行报价及上传投标文件，支持对投标文件结构化管理和对应上传状态显示。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线上开标评标的全流程线上操作，并且可邀请审计、财务等监督人员一起参与线上开标，支持开标后发起多轮报价，如果通过线下开标评标，支持将院内比选的关键过程、结果录入到系统。开标过程支持内部人员及与供应商在线视频沟通，集成视频会议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支持专家在线打分评标及线下评标线上录入评标结果两种方式。</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专家线上评标，按照设置好的评标模板给每项指标进行打分，系统自动计算分数和排名，由评标专家进行推荐。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8" w:hRule="atLeast"/>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支持自动生成评标报告。线下评标支持在线上录入评标记录，包括评标时间、参与人、监督人、评标专家、评标结果、上传评标报告及相关附件。采购人可根据专家推荐情况选择中标人，可录入中标理由并上传中 / 落标通知书。</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支持根据定标情况，系统自动给投标人推送中/落标通知书。支持在平台发布中标公告。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●风控查询：开标阶段需支持对已投标供应商进行关联关系查询、风险查询.IP地址检索.避免围标串标、有风险供应商进行开评、标环节限制和风险提醒。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对招标方案、投标方案、评标方案基本信息进行设置，采购员在执行时可调用，也可修改。支持比选项目公告、变更、中标结果公告自动发布到门户网站和其他公开范围比较广的互联网平台。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支持谈判/磋商、招标、单一来源等方式，采购执行人可根据规定选择相应的比选方式。模板化填写项目基本信息，包括但不限于项目名称、编号、项目类型、备注、项目附件、项目概况等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评标专家管理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支持院内专家库的建立、维护以及专家抽取，可进行专家新增、修改、启用、禁用等操作。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可进行专家随机抽取，抽取后系统自动给专家发送短信、邮件及站内信的通知。如果抽中的专家不参与，则支持进行补抽。被选为评标委员会成员的内部专家，可以在自己的业务界面中找到比选采购项目，在规定的时间进入，进行评标工作。支持抽取专家的人员先将需要评标的项目进行组合打包，再进行专家的统一抽取。</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ab/>
            </w:r>
            <w:r>
              <w:rPr>
                <w:rFonts w:hint="eastAsia" w:ascii="仿宋" w:hAnsi="仿宋" w:eastAsia="仿宋"/>
                <w:sz w:val="24"/>
              </w:rPr>
              <w:t>支持院内专家库建立与维护，可进行专家新增、修改、启用、禁用操作。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支持专家随机抽取，抽取后系统自动通过短信、邮件、站内信通知专家；支持专家补抽；内部专家可在业务界面查看对应比选项目并参与评标。</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支持将评标项目组合打包后统一抽取专家。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default" w:ascii="仿宋" w:hAnsi="仿宋" w:eastAsia="仿宋"/>
                <w:sz w:val="24"/>
                <w:lang w:val="en-US" w:eastAsia="zh-CN"/>
              </w:rPr>
            </w:pPr>
            <w:r>
              <w:rPr>
                <w:rFonts w:hint="eastAsia" w:ascii="仿宋" w:hAnsi="仿宋" w:eastAsia="仿宋"/>
                <w:sz w:val="24"/>
              </w:rPr>
              <w:t>委托</w:t>
            </w:r>
            <w:r>
              <w:rPr>
                <w:rFonts w:hint="eastAsia" w:ascii="仿宋" w:hAnsi="仿宋" w:eastAsia="仿宋"/>
                <w:sz w:val="24"/>
                <w:lang w:val="en-US" w:eastAsia="zh-CN"/>
              </w:rPr>
              <w:t>招标采购</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▲可通过第三方招标机构完成</w:t>
            </w:r>
            <w:r>
              <w:rPr>
                <w:rFonts w:hint="eastAsia" w:ascii="仿宋" w:hAnsi="仿宋" w:eastAsia="仿宋"/>
                <w:sz w:val="24"/>
                <w:lang w:val="en-US" w:eastAsia="zh-CN"/>
              </w:rPr>
              <w:t>院内及</w:t>
            </w:r>
            <w:r>
              <w:rPr>
                <w:rFonts w:hint="eastAsia" w:ascii="仿宋" w:hAnsi="仿宋" w:eastAsia="仿宋"/>
                <w:sz w:val="24"/>
              </w:rPr>
              <w:t>政府采购项目。委托采购执行前，可依据政府采购管理办法对采购计划进行编制、业务方对计划进行审查。支持招标机构通过人工录入、导入等方式将招标过程、结果数据进行录入。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w:t>
            </w:r>
            <w:r>
              <w:rPr>
                <w:rFonts w:hint="eastAsia" w:ascii="仿宋" w:hAnsi="仿宋" w:eastAsia="仿宋"/>
                <w:sz w:val="24"/>
                <w:lang w:val="en-US" w:eastAsia="zh-CN"/>
              </w:rPr>
              <w:t>医院</w:t>
            </w:r>
            <w:r>
              <w:rPr>
                <w:rFonts w:hint="eastAsia" w:ascii="仿宋" w:hAnsi="仿宋" w:eastAsia="仿宋"/>
                <w:sz w:val="24"/>
              </w:rPr>
              <w:t>对代理机构上传的招标文件进行审批，做到经办、审核分离。招标项目结束后，可通过平台进行数据的收集、归档和管理，包括：基本信息、文件、投标、开标、评标、定标、合同等相关信息和附件。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合同管理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●支持基于院采、政采结果或其它</w:t>
            </w:r>
            <w:r>
              <w:rPr>
                <w:rFonts w:hint="eastAsia" w:ascii="仿宋" w:hAnsi="仿宋" w:eastAsia="仿宋"/>
                <w:sz w:val="24"/>
                <w:lang w:val="en-US" w:eastAsia="zh-CN"/>
              </w:rPr>
              <w:t>手动</w:t>
            </w:r>
            <w:r>
              <w:rPr>
                <w:rFonts w:hint="eastAsia" w:ascii="仿宋" w:hAnsi="仿宋" w:eastAsia="仿宋"/>
                <w:sz w:val="24"/>
              </w:rPr>
              <w:t>新增需求合同，管理合同中的信息，包括合同基础信息、合同清单、签约方各类信息等，并基于模板生成合同。合同创建完成后，采购方可根据需要发送给供应商核对合同文本和产品清单，需要变更合同内容时，系统自动记录版本和变更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系统支持线下实体盖章，支持通过集成电子CA签章实现两种签章方式，查看已盖章的电子合同，可下载电子合同。系统需支持交易双方（或合作双方）通过 CA 数字证书完成在线签章操作，确保签章过程的合法性、安全性与有效性，且签章结果可追溯、可验证。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合同验收支付管理：支持在线填报合同的付款计划安排，支持合同到期提醒、付款提醒、维保续签提醒等。支持对供应商在线提交项目验收申请进行审批和登记，包括提交项目验收相关资料、文档等。支持采购付款管理、履约保证金收款管理、合同付款管理，详细记录付款的节点、付款的对应附件和付款的凭证。实现财务可以查询预算、采购、合同、货物验收入库等各环节执行情况，确保支付资金安全。</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支持合同全流程签订保障，合同可在规定时间范围内完成签订和多关键节点提醒和预警。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供应商全生命周期管理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现药品、耗材、后勤物资等医院所有物资供应商的一体化集中管控平台。支持供应商在线注册账号，提交基本信息、联系人信息、采购类别选择和对应的资质文件。支持供应商在使用账号前进行采购公告查看、快速注册和操作注意事项查看。</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所有参与过医院项目的供应商自动进入到医院的合作供应商库，可查看供应商参与投标项目的历史情况以及供应商基本信息和资质。</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对重点供应商进行考察记录，记录考察目标、考察人员、考察结论、考察供应商的资质文件、考察过程的图片等考察信息，支持记录多次供应商考察记录。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rPr>
            </w:pPr>
            <w:r>
              <w:rPr>
                <w:rFonts w:hint="eastAsia" w:ascii="仿宋" w:hAnsi="仿宋" w:eastAsia="仿宋"/>
                <w:sz w:val="24"/>
              </w:rPr>
              <w:t>可记录供应商表现记录，添加失信记录，支持供应商失信黑名单管理。建立定期供应商考核活动，可基于考核活动抓取供应商绩效数据，形成周期考核报表。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档案管理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支持对已经完结的项目进行</w:t>
            </w:r>
            <w:r>
              <w:rPr>
                <w:rFonts w:hint="eastAsia" w:ascii="仿宋" w:hAnsi="仿宋" w:eastAsia="仿宋"/>
                <w:sz w:val="24"/>
                <w:lang w:val="en-US" w:eastAsia="zh-CN"/>
              </w:rPr>
              <w:t>自动</w:t>
            </w:r>
            <w:r>
              <w:rPr>
                <w:rFonts w:hint="eastAsia" w:ascii="仿宋" w:hAnsi="仿宋" w:eastAsia="仿宋"/>
                <w:sz w:val="24"/>
              </w:rPr>
              <w:t>归档管理，包括项目所有过程信息、审批信息、相关附件。支持对已归档项目进行信息补录。支持对已经归档的项目进行查看，并支持按照多种维度通过关键词进行检索查询。</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支持对已归档的项目相关信息进行一键导出、打印等操作。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支持按照档案清单完成核对审核后，进行整体项目档案的归档。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系统管理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支持在采购平台自定义审批流程，支持多种条件的自动判断，例如：采购金额、组织机构、特定角色、分管领导等，并在线完成审批操作。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▲消息模版管理、消息配置、消息日志，消息中心指出邮件、短信、工作待办和微信提醒，方便用户及时处理业务。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支持建立具有</w:t>
            </w:r>
            <w:r>
              <w:rPr>
                <w:rFonts w:hint="eastAsia" w:ascii="仿宋" w:hAnsi="仿宋" w:eastAsia="仿宋"/>
                <w:sz w:val="24"/>
                <w:lang w:val="en-US" w:eastAsia="zh-CN"/>
              </w:rPr>
              <w:t>多院区、多科室</w:t>
            </w:r>
            <w:r>
              <w:rPr>
                <w:rFonts w:hint="eastAsia" w:ascii="仿宋" w:hAnsi="仿宋" w:eastAsia="仿宋"/>
                <w:sz w:val="24"/>
              </w:rPr>
              <w:t>结构层级的组织机构；可对组织机构进行增加部门、修改部门、删除部门、增加用户、修改信息等相关操作。</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主数据建模，提供对基础数据、参数统一管理：可提供基础数据多种录入模式（手动录入，模板式导入，多用户维护等），对基础数据和业务参数进行统一管理，支持医疗机构基础数据的三级管控，管控模式（管理方式+可用性范围+唯一性范围）可配置。</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支持系统内基础信息维护，</w:t>
            </w:r>
            <w:r>
              <w:rPr>
                <w:rFonts w:hint="eastAsia" w:ascii="仿宋" w:hAnsi="仿宋" w:eastAsia="仿宋"/>
                <w:sz w:val="24"/>
              </w:rPr>
              <w:t>产品信息：对产品信息进行维护，人工输入、固定表格格式后统一导入等多种方式维护产品信息。</w:t>
            </w:r>
            <w:r>
              <w:rPr>
                <w:rFonts w:hint="eastAsia" w:ascii="仿宋" w:hAnsi="仿宋" w:eastAsia="仿宋"/>
                <w:sz w:val="24"/>
              </w:rPr>
              <w:br w:type="textWrapping"/>
            </w:r>
            <w:r>
              <w:rPr>
                <w:rFonts w:hint="eastAsia" w:ascii="仿宋" w:hAnsi="仿宋" w:eastAsia="仿宋"/>
                <w:sz w:val="24"/>
              </w:rPr>
              <w:t>供应商信息：设定供应商基本信息，分类级维护，满足平台统一规范化要求。</w:t>
            </w:r>
            <w:r>
              <w:rPr>
                <w:rFonts w:hint="eastAsia" w:ascii="仿宋" w:hAnsi="仿宋" w:eastAsia="仿宋"/>
                <w:sz w:val="24"/>
              </w:rPr>
              <w:br w:type="textWrapping"/>
            </w:r>
            <w:r>
              <w:rPr>
                <w:rFonts w:hint="eastAsia" w:ascii="仿宋" w:hAnsi="仿宋" w:eastAsia="仿宋"/>
                <w:sz w:val="24"/>
              </w:rPr>
              <w:t>价格信息：支持管理预算价、多轮报价、合同价和执行价等多维度价格信息。</w:t>
            </w:r>
            <w:r>
              <w:rPr>
                <w:rFonts w:hint="eastAsia" w:ascii="仿宋" w:hAnsi="仿宋" w:eastAsia="仿宋"/>
                <w:sz w:val="24"/>
              </w:rPr>
              <w:br w:type="textWrapping"/>
            </w:r>
            <w:r>
              <w:rPr>
                <w:rFonts w:hint="eastAsia" w:ascii="仿宋" w:hAnsi="仿宋" w:eastAsia="仿宋"/>
                <w:sz w:val="24"/>
              </w:rPr>
              <w:t>其他信息：包括采购类别、项目类型、物资编码、供应商编码、组织机构、人员、专家库、计量单位、产品价格等基础相关配置。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统计报表</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系统需提供数据分析功能，自动生成各类报表，智能数据大屏展示，根据供应商、采购项目、采购人员等进行多维度数据展示，帮助医院管理层优化采购策略，控制成本。</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报表平台：支持报表可视化制作，通过平台完成参数定义、数据源定义、模板定义。支持将统计数据导出excel</w:t>
            </w:r>
            <w:r>
              <w:rPr>
                <w:rFonts w:hint="eastAsia"/>
              </w:rPr>
              <w:t>、</w:t>
            </w:r>
            <w:r>
              <w:rPr>
                <w:rFonts w:hint="eastAsia" w:ascii="仿宋" w:hAnsi="仿宋" w:eastAsia="仿宋"/>
                <w:sz w:val="24"/>
              </w:rPr>
              <w:t>PDF等格式统计报表文件。</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 xml:space="preserve"> 支持多数据来源，支持通过相关接口，将多数据源数据进行统一报表展现。报表支持多区域模型，多个区域按照数据分析结果各自动态展开，多区域和多数据来源之间均可以设置依赖关系，能灵活组合拼装出各类样式的复杂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default" w:ascii="仿宋" w:hAnsi="仿宋" w:eastAsia="仿宋"/>
                <w:sz w:val="24"/>
                <w:lang w:val="en-US" w:eastAsia="zh-CN"/>
              </w:rPr>
            </w:pPr>
            <w:r>
              <w:rPr>
                <w:rFonts w:hint="eastAsia" w:ascii="仿宋" w:hAnsi="仿宋" w:eastAsia="仿宋"/>
                <w:sz w:val="24"/>
                <w:lang w:val="en-US" w:eastAsia="zh-CN"/>
              </w:rPr>
              <w:t>审计监督管理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支持对拥有监督权限的人员账号设置监督权限范围，可以支持跨组织监督。</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支持对发生的业务数据进行实时动态查询，可查看的内容根据权限进行设置，不限采购需求、采购计划、院内统采、委托采购等业务数据；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right w:val="single" w:color="auto" w:sz="4" w:space="0"/>
            </w:tcBorders>
            <w:vAlign w:val="center"/>
          </w:tcPr>
          <w:p>
            <w:pPr>
              <w:spacing w:after="0" w:line="360" w:lineRule="auto"/>
              <w:rPr>
                <w:rFonts w:hint="default" w:ascii="仿宋" w:hAnsi="仿宋" w:eastAsia="仿宋"/>
                <w:sz w:val="24"/>
                <w:lang w:val="en-US" w:eastAsia="zh-CN"/>
              </w:rPr>
            </w:pPr>
            <w:r>
              <w:rPr>
                <w:rFonts w:hint="eastAsia" w:ascii="仿宋" w:hAnsi="仿宋" w:eastAsia="仿宋"/>
                <w:sz w:val="24"/>
                <w:lang w:val="en-US" w:eastAsia="zh-CN"/>
              </w:rPr>
              <w:t>质疑投诉管理</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 xml:space="preserve"> 质疑接收：支持供应商通过系统在线提交质疑函，质疑函内容应包括：质疑项目名称及编号、质疑供应商名称及联系方式、被质疑人名称、质疑事项及事实依据、法律依据、质疑请求等；支持上传质疑相关佐证材料。系统自动记录质疑提交时间，生成质疑受理编号，并向采购管理部门推送质疑待办通知。</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质疑处理：支持采购管理部门在线受理质疑，对质疑事项进行审查核实；支持在线填写质疑答复意见，引用相关法律法规及事实依据；答复意见经审批后，系统自动推送至质疑供应商，并在门户网站按规定进行公示。系统自动跟踪质疑处理时限（依据《政府采购法》规定的7个工作日），超期自动预警并推送至监督部门。</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投诉处理：支持记录供应商向财政监管部门提起的投诉信息，包括投诉事项、受理部门、处理进展、处理结果等；投诉处理过程中的相关文书、证据材料、处理决定等统一归档。</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质疑投诉查询统计：支持按项目、供应商、时间范围、处理状态等维度查询质疑投诉记录；支持纳入数据统计分析看板，展示质疑投诉率、处理及时率等指标。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right w:val="single" w:color="auto" w:sz="4" w:space="0"/>
            </w:tcBorders>
            <w:vAlign w:val="center"/>
          </w:tcPr>
          <w:p>
            <w:pPr>
              <w:spacing w:after="0" w:line="360" w:lineRule="auto"/>
              <w:rPr>
                <w:rFonts w:hint="default" w:ascii="仿宋" w:hAnsi="仿宋" w:eastAsia="仿宋"/>
                <w:sz w:val="24"/>
                <w:lang w:val="en-US" w:eastAsia="zh-CN"/>
              </w:rPr>
            </w:pPr>
            <w:r>
              <w:rPr>
                <w:rFonts w:hint="eastAsia" w:ascii="仿宋" w:hAnsi="仿宋" w:eastAsia="仿宋"/>
                <w:sz w:val="24"/>
                <w:lang w:val="en-US" w:eastAsia="zh-CN"/>
              </w:rPr>
              <w:t>智能风险预警</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系统需具备智能风险预警功能，通过预设规则引擎和数据分析，在采购全流程各环节自动识别和预警风险，</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预警规则可自行配置：支持采购管理部门自定义配置风险预警规则，包括预警类型、触发条件、预警级别（高/中/低）、通知对象等；</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预警类型包括但不限于：流程合规预警（采购方式不符合规定、审批流程不完整、公示期不足等）、时限预警（公告发布至开标时间不足法定天数、合同签订超期、质疑答复超期、履约验收超期等）、行为风险预警（供应商围串标风险、专家回避落实不到位、同一经办人短期内频繁发起同类采购等）；</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预警通知机制：系统自动通过系统消息、待办、短信等方式向相关责任人和监督部门推送预警信息；</w:t>
            </w:r>
          </w:p>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预警处置跟踪：接收预警后，责任人需在系统内记录处置措施和处理结果，形成预警闭环；未及时处置的预警自动升级推送至上级管理人员。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系统接口</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▲同财务预算</w:t>
            </w:r>
            <w:r>
              <w:rPr>
                <w:rFonts w:hint="eastAsia" w:ascii="仿宋" w:hAnsi="仿宋" w:eastAsia="仿宋"/>
                <w:sz w:val="24"/>
                <w:lang w:val="en-US" w:eastAsia="zh-CN"/>
              </w:rPr>
              <w:t>系统</w:t>
            </w:r>
            <w:r>
              <w:rPr>
                <w:rFonts w:hint="eastAsia" w:ascii="仿宋" w:hAnsi="仿宋" w:eastAsia="仿宋"/>
                <w:sz w:val="24"/>
                <w:lang w:eastAsia="zh-CN"/>
              </w:rPr>
              <w:t>（</w:t>
            </w:r>
            <w:r>
              <w:rPr>
                <w:rFonts w:hint="eastAsia" w:ascii="仿宋" w:hAnsi="仿宋" w:eastAsia="仿宋"/>
                <w:sz w:val="24"/>
                <w:lang w:val="en-US" w:eastAsia="zh-CN"/>
              </w:rPr>
              <w:t>HRP</w:t>
            </w:r>
            <w:r>
              <w:rPr>
                <w:rFonts w:hint="eastAsia" w:ascii="仿宋" w:hAnsi="仿宋" w:eastAsia="仿宋"/>
                <w:sz w:val="24"/>
                <w:lang w:eastAsia="zh-CN"/>
              </w:rPr>
              <w:t>）</w:t>
            </w:r>
            <w:r>
              <w:rPr>
                <w:rFonts w:hint="eastAsia" w:ascii="仿宋" w:hAnsi="仿宋" w:eastAsia="仿宋"/>
                <w:sz w:val="24"/>
              </w:rPr>
              <w:t>、供应商主数据进行集成，获取预算数据，并保持主数据的实时同步更新。</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支持OA系统或企业微信进行采购业务的全部审批环节对接，审批待办和单点登录。预留资产管理、财务管理、合同管理等其他院内现有系统接口对接预留。</w:t>
            </w:r>
          </w:p>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支持物资管理系统（SPD）对接，同步在用物资库产品基础信息，物资入库情况，科室领用占比等</w:t>
            </w:r>
            <w:r>
              <w:rPr>
                <w:rFonts w:hint="eastAsia" w:ascii="宋体" w:hAnsi="宋体" w:eastAsia="宋体" w:cs="宋体"/>
                <w:szCs w:val="21"/>
              </w:rPr>
              <w:t>关键主数据进行</w:t>
            </w:r>
            <w:r>
              <w:rPr>
                <w:rFonts w:hint="eastAsia" w:ascii="宋体" w:hAnsi="宋体" w:eastAsia="宋体" w:cs="宋体"/>
                <w:szCs w:val="21"/>
                <w:lang w:val="en-US" w:eastAsia="zh-CN"/>
              </w:rPr>
              <w:t>关联同步。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▲支持医院 CA 签章的集成，CA / 电子签章系统须兼容全国公共资源交易平台（四川省）互认范围内的数字证书及电子签章（包含但不限于四川 CA 及其他已纳入互认的机构颁发的证书），并符合国家密码管理局 GM/T 0034-2014 等标准要求，确保在平台内可正常使用且具备同等法律效力。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▲系统需支持短信、邮件的消息发送功能，方便内部和外部用户进行消息提醒，支持消息模板配置和发送记录查询。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医院官网集成：采购门户将采购公告、变更公告、中标公告等公告信息推送至医院官网 “采购平台” 板块，进行采购公告信息展示。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bookmarkStart w:id="1" w:name="OLE_LINK3"/>
            <w:r>
              <w:rPr>
                <w:rFonts w:hint="eastAsia" w:ascii="仿宋" w:hAnsi="仿宋" w:eastAsia="仿宋"/>
                <w:sz w:val="24"/>
              </w:rPr>
              <w:t>▲</w:t>
            </w:r>
            <w:bookmarkEnd w:id="1"/>
            <w:r>
              <w:rPr>
                <w:rFonts w:hint="eastAsia" w:ascii="仿宋" w:hAnsi="仿宋" w:eastAsia="仿宋"/>
                <w:sz w:val="24"/>
              </w:rPr>
              <w:t>采购系统的所有需要审批的事项通过接口推动到企业微信或OA中，在企业微信完成审批后把审批结果回推到采购系统；移动端的功能，在企业微信进行功能展示和操作，或通过医院现有的移动端实现。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tcBorders>
              <w:top w:val="single" w:color="auto" w:sz="4" w:space="0"/>
              <w:left w:val="single" w:color="auto" w:sz="4" w:space="0"/>
              <w:bottom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tcBorders>
              <w:top w:val="single" w:color="auto" w:sz="4" w:space="0"/>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rPr>
            </w:pPr>
            <w:r>
              <w:rPr>
                <w:rFonts w:hint="eastAsia" w:ascii="仿宋" w:hAnsi="仿宋" w:eastAsia="仿宋"/>
                <w:sz w:val="24"/>
              </w:rPr>
              <w:t>其他技术服务内容</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▲基于微服务架构开发；支持自动配置与容器化部署；（提供系统部署截图证明）。</w:t>
            </w:r>
          </w:p>
          <w:p>
            <w:pPr>
              <w:spacing w:after="0" w:line="360" w:lineRule="auto"/>
              <w:jc w:val="both"/>
              <w:rPr>
                <w:rFonts w:hint="eastAsia" w:ascii="仿宋" w:hAnsi="仿宋" w:eastAsia="仿宋"/>
                <w:sz w:val="24"/>
              </w:rPr>
            </w:pPr>
            <w:r>
              <w:rPr>
                <w:rFonts w:hint="eastAsia" w:ascii="仿宋" w:hAnsi="仿宋" w:eastAsia="仿宋"/>
                <w:sz w:val="24"/>
              </w:rPr>
              <w:t>能兼容麒麟、龙蜥、欧拉等主流国产操作系统;支持在国产OS上实现容器化部署。</w:t>
            </w:r>
          </w:p>
          <w:p>
            <w:pPr>
              <w:spacing w:after="0" w:line="360" w:lineRule="auto"/>
              <w:jc w:val="both"/>
              <w:rPr>
                <w:rFonts w:hint="eastAsia" w:ascii="仿宋" w:hAnsi="仿宋" w:eastAsia="仿宋"/>
                <w:sz w:val="24"/>
              </w:rPr>
            </w:pPr>
            <w:r>
              <w:rPr>
                <w:rFonts w:hint="eastAsia" w:ascii="仿宋" w:hAnsi="仿宋" w:eastAsia="仿宋"/>
                <w:sz w:val="24"/>
              </w:rPr>
              <w:t>兼容国产操作系统上运行的国产浏览器如：360安全浏览器、火狐中国版等主流浏览器。</w:t>
            </w:r>
          </w:p>
          <w:p>
            <w:pPr>
              <w:spacing w:after="0" w:line="360" w:lineRule="auto"/>
              <w:jc w:val="both"/>
              <w:rPr>
                <w:rFonts w:hint="eastAsia" w:ascii="仿宋" w:hAnsi="仿宋" w:eastAsia="仿宋"/>
                <w:sz w:val="24"/>
              </w:rPr>
            </w:pPr>
            <w:r>
              <w:rPr>
                <w:rFonts w:hint="eastAsia" w:ascii="仿宋" w:hAnsi="仿宋" w:eastAsia="仿宋"/>
                <w:sz w:val="24"/>
              </w:rPr>
              <w:t>适配国产操作系统的界面渲染需求;适配国产化硬件架构。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restart"/>
            <w:tcBorders>
              <w:top w:val="single" w:color="auto" w:sz="4" w:space="0"/>
              <w:left w:val="single" w:color="auto" w:sz="4" w:space="0"/>
              <w:right w:val="single" w:color="auto" w:sz="4" w:space="0"/>
            </w:tcBorders>
            <w:vAlign w:val="center"/>
          </w:tcPr>
          <w:p>
            <w:pPr>
              <w:pStyle w:val="13"/>
              <w:numPr>
                <w:ilvl w:val="0"/>
                <w:numId w:val="3"/>
              </w:numPr>
              <w:spacing w:after="0" w:line="360" w:lineRule="auto"/>
              <w:jc w:val="center"/>
              <w:rPr>
                <w:rFonts w:hint="eastAsia" w:ascii="仿宋" w:hAnsi="仿宋" w:eastAsia="仿宋"/>
                <w:sz w:val="24"/>
              </w:rPr>
            </w:pPr>
          </w:p>
        </w:tc>
        <w:tc>
          <w:tcPr>
            <w:tcW w:w="1488" w:type="dxa"/>
            <w:vMerge w:val="restart"/>
            <w:tcBorders>
              <w:top w:val="single" w:color="auto" w:sz="4" w:space="0"/>
              <w:left w:val="single" w:color="auto" w:sz="4" w:space="0"/>
              <w:right w:val="single" w:color="auto" w:sz="4" w:space="0"/>
            </w:tcBorders>
            <w:vAlign w:val="center"/>
          </w:tcPr>
          <w:p>
            <w:pPr>
              <w:spacing w:after="0" w:line="360" w:lineRule="auto"/>
              <w:rPr>
                <w:rFonts w:hint="default" w:ascii="仿宋" w:hAnsi="仿宋" w:eastAsia="仿宋"/>
                <w:sz w:val="24"/>
                <w:lang w:val="en-US" w:eastAsia="zh-CN"/>
              </w:rPr>
            </w:pPr>
            <w:r>
              <w:rPr>
                <w:rFonts w:hint="eastAsia" w:ascii="仿宋" w:hAnsi="仿宋" w:eastAsia="仿宋"/>
                <w:sz w:val="24"/>
                <w:lang w:val="en-US" w:eastAsia="zh-CN"/>
              </w:rPr>
              <w:t>AI智能化采购升级</w:t>
            </w: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default" w:ascii="仿宋" w:hAnsi="仿宋" w:eastAsia="仿宋"/>
                <w:sz w:val="24"/>
                <w:lang w:val="en-US" w:eastAsia="zh-CN"/>
              </w:rPr>
            </w:pPr>
            <w:r>
              <w:rPr>
                <w:rFonts w:hint="eastAsia" w:ascii="仿宋" w:hAnsi="仿宋" w:eastAsia="仿宋"/>
                <w:sz w:val="24"/>
                <w:lang w:val="en-US" w:eastAsia="zh-CN"/>
              </w:rPr>
              <w:t>AI</w:t>
            </w:r>
            <w:r>
              <w:rPr>
                <w:rFonts w:hint="eastAsia" w:ascii="仿宋" w:hAnsi="仿宋" w:eastAsia="仿宋"/>
                <w:sz w:val="24"/>
              </w:rPr>
              <w:t>文件智能审核</w:t>
            </w:r>
            <w:r>
              <w:rPr>
                <w:rFonts w:hint="eastAsia" w:ascii="仿宋" w:hAnsi="仿宋" w:eastAsia="仿宋"/>
                <w:sz w:val="24"/>
                <w:lang w:eastAsia="zh-CN"/>
              </w:rPr>
              <w:t>，</w:t>
            </w:r>
            <w:r>
              <w:rPr>
                <w:rFonts w:hint="eastAsia" w:ascii="仿宋" w:hAnsi="仿宋" w:eastAsia="仿宋"/>
                <w:sz w:val="24"/>
              </w:rPr>
              <w:t>支持在报名和开标后，针对供应商的资质文件进行AI的初步预审核，可识别是否盖章，资质文件是否齐全，印章与公司名称是否一致等信息，支持自定义不同文件的审核规则。辅助专家和采购人员进行</w:t>
            </w:r>
            <w:r>
              <w:rPr>
                <w:rFonts w:hint="eastAsia" w:ascii="仿宋" w:hAnsi="仿宋" w:eastAsia="仿宋"/>
                <w:sz w:val="24"/>
                <w:lang w:val="en-US" w:eastAsia="zh-CN"/>
              </w:rPr>
              <w:t>审核</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0"/>
              </w:numPr>
              <w:spacing w:after="0" w:line="360" w:lineRule="auto"/>
              <w:ind w:leftChars="0"/>
              <w:jc w:val="both"/>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lang w:val="en-US" w:eastAsia="zh-CN"/>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rPr>
              <w:t>供应商</w:t>
            </w:r>
            <w:r>
              <w:rPr>
                <w:rFonts w:hint="eastAsia" w:ascii="仿宋" w:hAnsi="仿宋" w:eastAsia="仿宋"/>
                <w:sz w:val="24"/>
                <w:lang w:val="en-US" w:eastAsia="zh-CN"/>
              </w:rPr>
              <w:t>AI</w:t>
            </w:r>
            <w:r>
              <w:rPr>
                <w:rFonts w:hint="eastAsia" w:ascii="仿宋" w:hAnsi="仿宋" w:eastAsia="仿宋"/>
                <w:sz w:val="24"/>
              </w:rPr>
              <w:t>在线</w:t>
            </w:r>
            <w:r>
              <w:rPr>
                <w:rFonts w:hint="eastAsia" w:ascii="仿宋" w:hAnsi="仿宋" w:eastAsia="仿宋"/>
                <w:sz w:val="24"/>
                <w:lang w:val="en-US" w:eastAsia="zh-CN"/>
              </w:rPr>
              <w:t>24h</w:t>
            </w:r>
            <w:r>
              <w:rPr>
                <w:rFonts w:hint="eastAsia" w:ascii="仿宋" w:hAnsi="仿宋" w:eastAsia="仿宋"/>
                <w:sz w:val="24"/>
              </w:rPr>
              <w:t>智能客服</w:t>
            </w:r>
            <w:r>
              <w:rPr>
                <w:rFonts w:hint="eastAsia" w:ascii="仿宋" w:hAnsi="仿宋" w:eastAsia="仿宋"/>
                <w:sz w:val="24"/>
                <w:lang w:eastAsia="zh-CN"/>
              </w:rPr>
              <w:t>，</w:t>
            </w:r>
            <w:r>
              <w:rPr>
                <w:rFonts w:hint="eastAsia" w:ascii="仿宋" w:hAnsi="仿宋" w:eastAsia="仿宋"/>
                <w:sz w:val="24"/>
              </w:rPr>
              <w:t>支持供应商在线询问采购项目流程，报名流程及投标流程等操作信息</w:t>
            </w:r>
            <w:r>
              <w:rPr>
                <w:rFonts w:hint="eastAsia" w:ascii="仿宋" w:hAnsi="仿宋" w:eastAsia="仿宋"/>
                <w:sz w:val="24"/>
                <w:lang w:eastAsia="zh-CN"/>
              </w:rPr>
              <w:t>，</w:t>
            </w:r>
            <w:r>
              <w:rPr>
                <w:rFonts w:hint="eastAsia" w:ascii="仿宋" w:hAnsi="仿宋" w:eastAsia="仿宋"/>
                <w:sz w:val="24"/>
                <w:lang w:val="en-US" w:eastAsia="zh-CN"/>
              </w:rPr>
              <w:t>学习医院供应商管理规范</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0"/>
              </w:numPr>
              <w:spacing w:after="0" w:line="360" w:lineRule="auto"/>
              <w:ind w:leftChars="0"/>
              <w:jc w:val="both"/>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lang w:val="en-US" w:eastAsia="zh-CN"/>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AI</w:t>
            </w:r>
            <w:r>
              <w:rPr>
                <w:rFonts w:hint="eastAsia" w:ascii="仿宋" w:hAnsi="仿宋" w:eastAsia="仿宋"/>
                <w:sz w:val="24"/>
              </w:rPr>
              <w:t>智能辅助编写招标技术参数</w:t>
            </w:r>
            <w:r>
              <w:rPr>
                <w:rFonts w:hint="eastAsia" w:ascii="仿宋" w:hAnsi="仿宋" w:eastAsia="仿宋"/>
                <w:sz w:val="24"/>
                <w:lang w:eastAsia="zh-CN"/>
              </w:rPr>
              <w:t>，</w:t>
            </w:r>
            <w:r>
              <w:rPr>
                <w:rFonts w:hint="eastAsia" w:ascii="仿宋" w:hAnsi="仿宋" w:eastAsia="仿宋"/>
                <w:sz w:val="24"/>
              </w:rPr>
              <w:t>辅助需求论证和提报部门在线编写招标技术参数。通过引用互联网公共参数或历史招标在用参数</w:t>
            </w:r>
            <w:r>
              <w:rPr>
                <w:rFonts w:hint="eastAsia" w:ascii="仿宋" w:hAnsi="仿宋" w:eastAsia="仿宋"/>
                <w:sz w:val="24"/>
                <w:lang w:eastAsia="zh-CN"/>
              </w:rPr>
              <w:t>、</w:t>
            </w:r>
            <w:r>
              <w:rPr>
                <w:rFonts w:hint="eastAsia" w:ascii="仿宋" w:hAnsi="仿宋" w:eastAsia="仿宋"/>
                <w:sz w:val="24"/>
              </w:rPr>
              <w:t>供应商调研时的方案参数，综合性生成没有指向性</w:t>
            </w:r>
            <w:r>
              <w:rPr>
                <w:rFonts w:hint="eastAsia" w:ascii="仿宋" w:hAnsi="仿宋" w:eastAsia="仿宋"/>
                <w:sz w:val="24"/>
                <w:lang w:val="en-US" w:eastAsia="zh-CN"/>
              </w:rPr>
              <w:t>的中性</w:t>
            </w:r>
            <w:r>
              <w:rPr>
                <w:rFonts w:hint="eastAsia" w:ascii="仿宋" w:hAnsi="仿宋" w:eastAsia="仿宋"/>
                <w:sz w:val="24"/>
              </w:rPr>
              <w:t>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0"/>
              </w:numPr>
              <w:spacing w:after="0" w:line="360" w:lineRule="auto"/>
              <w:ind w:leftChars="0"/>
              <w:jc w:val="both"/>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lang w:val="en-US" w:eastAsia="zh-CN"/>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lang w:val="en-US" w:eastAsia="zh-CN"/>
              </w:rPr>
            </w:pPr>
            <w:r>
              <w:rPr>
                <w:rFonts w:hint="eastAsia" w:ascii="仿宋" w:hAnsi="仿宋" w:eastAsia="仿宋"/>
                <w:sz w:val="24"/>
                <w:lang w:val="en-US" w:eastAsia="zh-CN"/>
              </w:rPr>
              <w:t>AI采购助手支持在线对招标技术参数一致性，偏离性，指向性审查。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right w:val="single" w:color="auto" w:sz="4" w:space="0"/>
            </w:tcBorders>
            <w:vAlign w:val="center"/>
          </w:tcPr>
          <w:p>
            <w:pPr>
              <w:pStyle w:val="13"/>
              <w:numPr>
                <w:ilvl w:val="0"/>
                <w:numId w:val="0"/>
              </w:numPr>
              <w:spacing w:after="0" w:line="360" w:lineRule="auto"/>
              <w:ind w:leftChars="0"/>
              <w:jc w:val="both"/>
              <w:rPr>
                <w:rFonts w:hint="eastAsia" w:ascii="仿宋" w:hAnsi="仿宋" w:eastAsia="仿宋"/>
                <w:sz w:val="24"/>
              </w:rPr>
            </w:pPr>
          </w:p>
        </w:tc>
        <w:tc>
          <w:tcPr>
            <w:tcW w:w="1488" w:type="dxa"/>
            <w:vMerge w:val="continue"/>
            <w:tcBorders>
              <w:left w:val="single" w:color="auto" w:sz="4" w:space="0"/>
              <w:right w:val="single" w:color="auto" w:sz="4" w:space="0"/>
            </w:tcBorders>
            <w:vAlign w:val="center"/>
          </w:tcPr>
          <w:p>
            <w:pPr>
              <w:spacing w:after="0" w:line="360" w:lineRule="auto"/>
              <w:rPr>
                <w:rFonts w:hint="eastAsia" w:ascii="仿宋" w:hAnsi="仿宋" w:eastAsia="仿宋"/>
                <w:sz w:val="24"/>
                <w:lang w:val="en-US" w:eastAsia="zh-CN"/>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eastAsia" w:ascii="仿宋" w:hAnsi="仿宋" w:eastAsia="仿宋"/>
                <w:sz w:val="24"/>
              </w:rPr>
            </w:pPr>
            <w:r>
              <w:rPr>
                <w:rFonts w:hint="eastAsia" w:ascii="仿宋" w:hAnsi="仿宋" w:eastAsia="仿宋"/>
                <w:sz w:val="24"/>
                <w:lang w:val="en-US" w:eastAsia="zh-CN"/>
              </w:rPr>
              <w:t>AI</w:t>
            </w:r>
            <w:r>
              <w:rPr>
                <w:rFonts w:hint="eastAsia" w:ascii="仿宋" w:hAnsi="仿宋" w:eastAsia="仿宋"/>
                <w:sz w:val="24"/>
              </w:rPr>
              <w:t>采购</w:t>
            </w:r>
            <w:r>
              <w:rPr>
                <w:rFonts w:hint="eastAsia" w:ascii="仿宋" w:hAnsi="仿宋" w:eastAsia="仿宋"/>
                <w:sz w:val="24"/>
                <w:lang w:val="en-US" w:eastAsia="zh-CN"/>
              </w:rPr>
              <w:t>日常</w:t>
            </w:r>
            <w:r>
              <w:rPr>
                <w:rFonts w:hint="eastAsia" w:ascii="仿宋" w:hAnsi="仿宋" w:eastAsia="仿宋"/>
                <w:sz w:val="24"/>
              </w:rPr>
              <w:t>助手</w:t>
            </w:r>
            <w:r>
              <w:rPr>
                <w:rFonts w:hint="eastAsia" w:ascii="仿宋" w:hAnsi="仿宋" w:eastAsia="仿宋"/>
                <w:sz w:val="24"/>
                <w:lang w:eastAsia="zh-CN"/>
              </w:rPr>
              <w:t>，</w:t>
            </w:r>
            <w:r>
              <w:rPr>
                <w:rFonts w:hint="eastAsia" w:ascii="仿宋" w:hAnsi="仿宋" w:eastAsia="仿宋"/>
                <w:sz w:val="24"/>
                <w:lang w:val="en-US" w:eastAsia="zh-CN"/>
              </w:rPr>
              <w:t>支持</w:t>
            </w:r>
            <w:r>
              <w:rPr>
                <w:rFonts w:hint="eastAsia" w:ascii="仿宋" w:hAnsi="仿宋" w:eastAsia="仿宋"/>
                <w:sz w:val="24"/>
              </w:rPr>
              <w:t>智能总结文件内容，解读</w:t>
            </w:r>
            <w:r>
              <w:rPr>
                <w:rFonts w:hint="eastAsia" w:ascii="仿宋" w:hAnsi="仿宋" w:eastAsia="仿宋"/>
                <w:sz w:val="24"/>
                <w:lang w:val="en-US" w:eastAsia="zh-CN"/>
              </w:rPr>
              <w:t>采购</w:t>
            </w:r>
            <w:r>
              <w:rPr>
                <w:rFonts w:hint="eastAsia" w:ascii="仿宋" w:hAnsi="仿宋" w:eastAsia="仿宋"/>
                <w:sz w:val="24"/>
              </w:rPr>
              <w:t>政策</w:t>
            </w:r>
            <w:r>
              <w:rPr>
                <w:rFonts w:hint="eastAsia" w:ascii="仿宋" w:hAnsi="仿宋" w:eastAsia="仿宋"/>
                <w:sz w:val="24"/>
                <w:lang w:eastAsia="zh-CN"/>
              </w:rPr>
              <w:t>、</w:t>
            </w:r>
            <w:r>
              <w:rPr>
                <w:rFonts w:hint="eastAsia" w:ascii="仿宋" w:hAnsi="仿宋" w:eastAsia="仿宋"/>
                <w:sz w:val="24"/>
              </w:rPr>
              <w:t>法律法规</w:t>
            </w:r>
            <w:r>
              <w:rPr>
                <w:rFonts w:hint="eastAsia" w:ascii="仿宋" w:hAnsi="仿宋" w:eastAsia="仿宋"/>
                <w:sz w:val="24"/>
                <w:lang w:eastAsia="zh-CN"/>
              </w:rPr>
              <w:t>、</w:t>
            </w:r>
            <w:r>
              <w:rPr>
                <w:rFonts w:hint="eastAsia" w:ascii="仿宋" w:hAnsi="仿宋" w:eastAsia="仿宋"/>
                <w:sz w:val="24"/>
              </w:rPr>
              <w:t>规章制度。</w:t>
            </w:r>
            <w:r>
              <w:rPr>
                <w:rFonts w:hint="eastAsia" w:ascii="仿宋" w:hAnsi="仿宋" w:eastAsia="仿宋"/>
                <w:sz w:val="24"/>
                <w:lang w:val="en-US" w:eastAsia="zh-CN"/>
              </w:rPr>
              <w:t>支持</w:t>
            </w:r>
            <w:r>
              <w:rPr>
                <w:rFonts w:hint="eastAsia" w:ascii="仿宋" w:hAnsi="仿宋" w:eastAsia="仿宋"/>
                <w:sz w:val="24"/>
              </w:rPr>
              <w:t>在线编写相关文件模板和相关文章。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vMerge w:val="continue"/>
            <w:tcBorders>
              <w:left w:val="single" w:color="auto" w:sz="4" w:space="0"/>
              <w:bottom w:val="single" w:color="auto" w:sz="4" w:space="0"/>
              <w:right w:val="single" w:color="auto" w:sz="4" w:space="0"/>
            </w:tcBorders>
            <w:vAlign w:val="center"/>
          </w:tcPr>
          <w:p>
            <w:pPr>
              <w:pStyle w:val="13"/>
              <w:numPr>
                <w:ilvl w:val="0"/>
                <w:numId w:val="0"/>
              </w:numPr>
              <w:spacing w:after="0" w:line="360" w:lineRule="auto"/>
              <w:ind w:leftChars="0"/>
              <w:jc w:val="both"/>
              <w:rPr>
                <w:rFonts w:hint="eastAsia" w:ascii="仿宋" w:hAnsi="仿宋" w:eastAsia="仿宋"/>
                <w:sz w:val="24"/>
              </w:rPr>
            </w:pPr>
          </w:p>
        </w:tc>
        <w:tc>
          <w:tcPr>
            <w:tcW w:w="1488" w:type="dxa"/>
            <w:vMerge w:val="continue"/>
            <w:tcBorders>
              <w:left w:val="single" w:color="auto" w:sz="4" w:space="0"/>
              <w:bottom w:val="single" w:color="auto" w:sz="4" w:space="0"/>
              <w:right w:val="single" w:color="auto" w:sz="4" w:space="0"/>
            </w:tcBorders>
            <w:vAlign w:val="center"/>
          </w:tcPr>
          <w:p>
            <w:pPr>
              <w:spacing w:after="0" w:line="360" w:lineRule="auto"/>
              <w:rPr>
                <w:rFonts w:hint="eastAsia" w:ascii="仿宋" w:hAnsi="仿宋" w:eastAsia="仿宋"/>
                <w:sz w:val="24"/>
                <w:lang w:val="en-US" w:eastAsia="zh-CN"/>
              </w:rPr>
            </w:pPr>
          </w:p>
        </w:tc>
        <w:tc>
          <w:tcPr>
            <w:tcW w:w="5838" w:type="dxa"/>
            <w:tcBorders>
              <w:top w:val="single" w:color="auto" w:sz="4" w:space="0"/>
              <w:left w:val="single" w:color="auto" w:sz="4" w:space="0"/>
              <w:bottom w:val="single" w:color="auto" w:sz="4" w:space="0"/>
              <w:right w:val="single" w:color="auto" w:sz="4" w:space="0"/>
            </w:tcBorders>
          </w:tcPr>
          <w:p>
            <w:pPr>
              <w:pStyle w:val="13"/>
              <w:numPr>
                <w:ilvl w:val="0"/>
                <w:numId w:val="4"/>
              </w:numPr>
              <w:spacing w:after="0" w:line="360" w:lineRule="auto"/>
              <w:ind w:left="0" w:firstLine="361"/>
              <w:jc w:val="both"/>
              <w:rPr>
                <w:rFonts w:hint="default" w:ascii="仿宋" w:hAnsi="仿宋" w:eastAsia="仿宋"/>
                <w:sz w:val="24"/>
                <w:lang w:val="en-US" w:eastAsia="zh-CN"/>
              </w:rPr>
            </w:pPr>
            <w:r>
              <w:rPr>
                <w:rFonts w:hint="eastAsia" w:ascii="仿宋" w:hAnsi="仿宋" w:eastAsia="仿宋"/>
                <w:sz w:val="24"/>
                <w:lang w:val="en-US" w:eastAsia="zh-CN"/>
              </w:rPr>
              <w:t>AI智能数据查询分析，支持通过对话形式，查询系统中的项目、合同等数据，可根据口头表述要求统计分析数据情况，给出智能建议和风险提示。支持根据数据进行图表展示和多列表结构化信息展示。</w:t>
            </w:r>
          </w:p>
        </w:tc>
      </w:tr>
    </w:tbl>
    <w:p>
      <w:pPr>
        <w:pStyle w:val="12"/>
        <w:numPr>
          <w:ilvl w:val="0"/>
          <w:numId w:val="0"/>
        </w:numPr>
        <w:spacing w:line="240" w:lineRule="auto"/>
        <w:ind w:leftChars="200"/>
        <w:rPr>
          <w:rFonts w:hint="eastAsia" w:ascii="仿宋" w:hAnsi="仿宋" w:eastAsia="仿宋" w:cs="仿宋"/>
          <w:sz w:val="30"/>
          <w:szCs w:val="30"/>
          <w:lang w:val="en-US" w:eastAsia="zh-CN"/>
        </w:rPr>
      </w:pPr>
      <w:r>
        <w:rPr>
          <w:rFonts w:hint="eastAsia" w:ascii="仿宋" w:hAnsi="仿宋" w:eastAsia="仿宋" w:cs="仿宋"/>
          <w:b/>
          <w:bCs/>
          <w:sz w:val="24"/>
          <w:szCs w:val="24"/>
          <w:lang w:val="en-US" w:eastAsia="zh-CN"/>
        </w:rPr>
        <w:t>二、服务器关键技术指标</w:t>
      </w:r>
    </w:p>
    <w:tbl>
      <w:tblPr>
        <w:tblStyle w:val="9"/>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90"/>
        <w:gridCol w:w="504"/>
        <w:gridCol w:w="1284"/>
        <w:gridCol w:w="5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9077" w:type="dxa"/>
            <w:gridSpan w:val="4"/>
            <w:tcBorders>
              <w:left w:val="single" w:color="auto" w:sz="4" w:space="0"/>
            </w:tcBorders>
            <w:vAlign w:val="center"/>
          </w:tcPr>
          <w:p>
            <w:pPr>
              <w:pStyle w:val="14"/>
              <w:spacing w:before="55"/>
              <w:ind w:left="1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服务器关键技术指标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restart"/>
            <w:tcBorders>
              <w:left w:val="single" w:color="auto" w:sz="4" w:space="0"/>
            </w:tcBorders>
            <w:vAlign w:val="center"/>
          </w:tcPr>
          <w:p>
            <w:pPr>
              <w:pStyle w:val="14"/>
              <w:spacing w:line="324" w:lineRule="auto"/>
              <w:ind w:right="87"/>
              <w:jc w:val="both"/>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1</w:t>
            </w:r>
            <w:r>
              <w:rPr>
                <w:rFonts w:hint="eastAsia" w:ascii="仿宋" w:hAnsi="仿宋" w:eastAsia="仿宋" w:cs="仿宋"/>
                <w:b w:val="0"/>
                <w:bCs w:val="0"/>
                <w:color w:val="000000" w:themeColor="text1"/>
                <w:sz w:val="24"/>
                <w:szCs w:val="24"/>
                <w14:textFill>
                  <w14:solidFill>
                    <w14:schemeClr w14:val="tx1"/>
                  </w14:solidFill>
                </w14:textFill>
              </w:rPr>
              <w:t>.应用服务器</w:t>
            </w:r>
          </w:p>
          <w:p>
            <w:pPr>
              <w:pStyle w:val="14"/>
              <w:spacing w:line="324" w:lineRule="auto"/>
              <w:ind w:left="100" w:right="87"/>
              <w:jc w:val="both"/>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val="0"/>
                <w:bCs w:val="0"/>
                <w:color w:val="000000" w:themeColor="text1"/>
                <w:sz w:val="24"/>
                <w:szCs w:val="24"/>
                <w14:textFill>
                  <w14:solidFill>
                    <w14:schemeClr w14:val="tx1"/>
                  </w14:solidFill>
                </w14:textFill>
              </w:rPr>
              <w:t>备注：必配</w:t>
            </w:r>
          </w:p>
        </w:tc>
        <w:tc>
          <w:tcPr>
            <w:tcW w:w="504" w:type="dxa"/>
            <w:vMerge w:val="restart"/>
            <w:vAlign w:val="center"/>
          </w:tcPr>
          <w:p>
            <w:pPr>
              <w:pStyle w:val="14"/>
              <w:jc w:val="both"/>
              <w:rPr>
                <w:rFonts w:hint="eastAsia" w:ascii="仿宋" w:hAnsi="仿宋" w:eastAsia="仿宋" w:cs="仿宋"/>
                <w:b/>
                <w:sz w:val="24"/>
                <w:szCs w:val="24"/>
              </w:rPr>
            </w:pPr>
          </w:p>
          <w:p>
            <w:pPr>
              <w:pStyle w:val="14"/>
              <w:ind w:left="8"/>
              <w:jc w:val="both"/>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Hans"/>
              </w:rPr>
              <w:t>台</w:t>
            </w:r>
          </w:p>
        </w:tc>
        <w:tc>
          <w:tcPr>
            <w:tcW w:w="1284" w:type="dxa"/>
            <w:vAlign w:val="top"/>
          </w:tcPr>
          <w:p>
            <w:pPr>
              <w:pStyle w:val="14"/>
              <w:spacing w:before="53"/>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操作系统</w:t>
            </w:r>
          </w:p>
        </w:tc>
        <w:tc>
          <w:tcPr>
            <w:tcW w:w="5999" w:type="dxa"/>
          </w:tcPr>
          <w:p>
            <w:pPr>
              <w:pStyle w:val="14"/>
              <w:spacing w:before="55"/>
              <w:ind w:left="10"/>
              <w:rPr>
                <w:rFonts w:hint="eastAsia" w:ascii="仿宋" w:hAnsi="仿宋" w:eastAsia="仿宋" w:cs="仿宋"/>
                <w:sz w:val="24"/>
                <w:szCs w:val="24"/>
                <w:lang w:eastAsia="zh-CN"/>
              </w:rPr>
            </w:pPr>
            <w:r>
              <w:rPr>
                <w:rFonts w:hint="eastAsia" w:ascii="仿宋" w:hAnsi="仿宋" w:eastAsia="仿宋" w:cs="仿宋"/>
                <w:sz w:val="24"/>
                <w:szCs w:val="24"/>
                <w:lang w:eastAsia="zh-CN"/>
              </w:rPr>
              <w:t>服务器需要兼容</w:t>
            </w:r>
            <w:r>
              <w:rPr>
                <w:rFonts w:hint="eastAsia" w:ascii="仿宋" w:hAnsi="仿宋" w:eastAsia="仿宋" w:cs="仿宋"/>
                <w:sz w:val="24"/>
                <w:szCs w:val="24"/>
              </w:rPr>
              <w:t>统信USO2.0(1050e)</w:t>
            </w:r>
            <w:r>
              <w:rPr>
                <w:rFonts w:hint="eastAsia" w:ascii="仿宋" w:hAnsi="仿宋" w:eastAsia="仿宋" w:cs="仿宋"/>
                <w:sz w:val="24"/>
                <w:szCs w:val="24"/>
                <w:lang w:eastAsia="zh-CN"/>
              </w:rPr>
              <w:t>、Linux CentOS-7.9-x64、</w:t>
            </w:r>
            <w:r>
              <w:rPr>
                <w:rFonts w:hint="eastAsia" w:ascii="仿宋" w:hAnsi="仿宋" w:eastAsia="仿宋" w:cs="仿宋"/>
                <w:sz w:val="24"/>
                <w:szCs w:val="24"/>
              </w:rPr>
              <w:t>银河麒麟(Kylin OS）</w:t>
            </w:r>
            <w:r>
              <w:rPr>
                <w:rFonts w:hint="eastAsia" w:ascii="仿宋" w:hAnsi="仿宋" w:eastAsia="仿宋" w:cs="仿宋"/>
                <w:sz w:val="24"/>
                <w:szCs w:val="24"/>
                <w:lang w:val="en-US" w:eastAsia="zh-CN"/>
              </w:rPr>
              <w:t>V11</w:t>
            </w:r>
            <w:r>
              <w:rPr>
                <w:rFonts w:hint="eastAsia" w:ascii="仿宋" w:hAnsi="仿宋" w:eastAsia="仿宋" w:cs="仿宋"/>
                <w:sz w:val="24"/>
                <w:szCs w:val="24"/>
                <w:lang w:eastAsia="zh-CN"/>
              </w:rPr>
              <w:t>、</w:t>
            </w:r>
            <w:r>
              <w:rPr>
                <w:rFonts w:hint="eastAsia" w:ascii="仿宋" w:hAnsi="仿宋" w:eastAsia="仿宋" w:cs="仿宋"/>
                <w:sz w:val="24"/>
                <w:szCs w:val="24"/>
              </w:rPr>
              <w:t>windows server2012 R2 64bit</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5"/>
              <w:ind w:left="138" w:leftChars="0" w:right="129"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CPU</w:t>
            </w:r>
          </w:p>
        </w:tc>
        <w:tc>
          <w:tcPr>
            <w:tcW w:w="5999" w:type="dxa"/>
          </w:tcPr>
          <w:p>
            <w:pPr>
              <w:pStyle w:val="14"/>
              <w:spacing w:before="55"/>
              <w:ind w:left="10"/>
              <w:rPr>
                <w:rFonts w:hint="eastAsia" w:ascii="仿宋" w:hAnsi="仿宋" w:eastAsia="仿宋" w:cs="仿宋"/>
                <w:sz w:val="24"/>
                <w:szCs w:val="24"/>
              </w:rPr>
            </w:pPr>
            <w:r>
              <w:rPr>
                <w:rFonts w:hint="eastAsia" w:ascii="仿宋" w:hAnsi="仿宋" w:eastAsia="仿宋" w:cs="仿宋"/>
                <w:sz w:val="24"/>
                <w:szCs w:val="24"/>
              </w:rPr>
              <w:t>CPU 16 核</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内存</w:t>
            </w:r>
          </w:p>
        </w:tc>
        <w:tc>
          <w:tcPr>
            <w:tcW w:w="5999" w:type="dxa"/>
          </w:tcPr>
          <w:p>
            <w:pPr>
              <w:pStyle w:val="14"/>
              <w:spacing w:before="54"/>
              <w:ind w:left="10"/>
              <w:rPr>
                <w:rFonts w:hint="eastAsia" w:ascii="仿宋" w:hAnsi="仿宋" w:eastAsia="仿宋" w:cs="仿宋"/>
                <w:sz w:val="24"/>
                <w:szCs w:val="24"/>
              </w:rPr>
            </w:pPr>
            <w:r>
              <w:rPr>
                <w:rFonts w:hint="eastAsia" w:ascii="仿宋" w:hAnsi="仿宋" w:eastAsia="仿宋" w:cs="仿宋"/>
                <w:sz w:val="24"/>
                <w:szCs w:val="24"/>
              </w:rPr>
              <w:t>32G</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硬盘</w:t>
            </w:r>
            <w:r>
              <w:rPr>
                <w:rFonts w:hint="eastAsia" w:ascii="仿宋" w:hAnsi="仿宋" w:eastAsia="仿宋" w:cs="仿宋"/>
                <w:sz w:val="24"/>
                <w:szCs w:val="24"/>
                <w:lang w:val="en-US" w:eastAsia="zh-CN"/>
              </w:rPr>
              <w:t>阵列</w:t>
            </w:r>
          </w:p>
        </w:tc>
        <w:tc>
          <w:tcPr>
            <w:tcW w:w="5999" w:type="dxa"/>
          </w:tcPr>
          <w:p>
            <w:pPr>
              <w:pStyle w:val="14"/>
              <w:spacing w:before="54"/>
              <w:ind w:left="1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RAID5（奇偶校验）以上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硬盘</w:t>
            </w:r>
          </w:p>
        </w:tc>
        <w:tc>
          <w:tcPr>
            <w:tcW w:w="5999" w:type="dxa"/>
          </w:tcPr>
          <w:p>
            <w:pPr>
              <w:pStyle w:val="14"/>
              <w:spacing w:before="54"/>
              <w:ind w:left="1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rPr>
              <w:t>TB</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电源</w:t>
            </w:r>
          </w:p>
        </w:tc>
        <w:tc>
          <w:tcPr>
            <w:tcW w:w="5999" w:type="dxa"/>
          </w:tcPr>
          <w:p>
            <w:pPr>
              <w:pStyle w:val="14"/>
              <w:spacing w:before="54"/>
              <w:ind w:left="1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双电源供电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restart"/>
            <w:tcBorders>
              <w:left w:val="single" w:color="auto" w:sz="4" w:space="0"/>
            </w:tcBorders>
            <w:vAlign w:val="center"/>
          </w:tcPr>
          <w:p>
            <w:pPr>
              <w:pStyle w:val="14"/>
              <w:spacing w:line="324" w:lineRule="auto"/>
              <w:ind w:right="87"/>
              <w:jc w:val="both"/>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2.数据库</w:t>
            </w:r>
            <w:r>
              <w:rPr>
                <w:rFonts w:hint="eastAsia" w:ascii="仿宋" w:hAnsi="仿宋" w:eastAsia="仿宋" w:cs="仿宋"/>
                <w:b w:val="0"/>
                <w:bCs w:val="0"/>
                <w:color w:val="000000" w:themeColor="text1"/>
                <w:sz w:val="24"/>
                <w:szCs w:val="24"/>
                <w14:textFill>
                  <w14:solidFill>
                    <w14:schemeClr w14:val="tx1"/>
                  </w14:solidFill>
                </w14:textFill>
              </w:rPr>
              <w:t>服务器</w:t>
            </w:r>
          </w:p>
          <w:p>
            <w:pPr>
              <w:pStyle w:val="14"/>
              <w:spacing w:line="324" w:lineRule="auto"/>
              <w:ind w:left="100" w:leftChars="0" w:right="87" w:rightChars="0"/>
              <w:jc w:val="both"/>
              <w:rPr>
                <w:rFonts w:hint="eastAsia" w:ascii="仿宋" w:hAnsi="仿宋" w:eastAsia="仿宋" w:cs="仿宋"/>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olor w:val="000000" w:themeColor="text1"/>
                <w:sz w:val="24"/>
                <w:szCs w:val="24"/>
                <w14:textFill>
                  <w14:solidFill>
                    <w14:schemeClr w14:val="tx1"/>
                  </w14:solidFill>
                </w14:textFill>
              </w:rPr>
              <w:t>备注：必配</w:t>
            </w:r>
          </w:p>
        </w:tc>
        <w:tc>
          <w:tcPr>
            <w:tcW w:w="504" w:type="dxa"/>
            <w:vMerge w:val="restart"/>
            <w:vAlign w:val="center"/>
          </w:tcPr>
          <w:p>
            <w:pPr>
              <w:pStyle w:val="14"/>
              <w:jc w:val="both"/>
              <w:rPr>
                <w:rFonts w:hint="eastAsia" w:ascii="仿宋" w:hAnsi="仿宋" w:eastAsia="仿宋" w:cs="仿宋"/>
                <w:b/>
                <w:sz w:val="24"/>
                <w:szCs w:val="24"/>
              </w:rPr>
            </w:pPr>
          </w:p>
          <w:p>
            <w:pPr>
              <w:pStyle w:val="14"/>
              <w:ind w:left="8" w:leftChars="0"/>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1</w:t>
            </w:r>
            <w:r>
              <w:rPr>
                <w:rFonts w:hint="eastAsia" w:ascii="仿宋" w:hAnsi="仿宋" w:eastAsia="仿宋" w:cs="仿宋"/>
                <w:sz w:val="24"/>
                <w:szCs w:val="24"/>
                <w:lang w:eastAsia="zh-Hans"/>
              </w:rPr>
              <w:t>台</w:t>
            </w:r>
          </w:p>
        </w:tc>
        <w:tc>
          <w:tcPr>
            <w:tcW w:w="1284" w:type="dxa"/>
            <w:vAlign w:val="top"/>
          </w:tcPr>
          <w:p>
            <w:pPr>
              <w:pStyle w:val="14"/>
              <w:spacing w:before="53"/>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操作系统</w:t>
            </w:r>
          </w:p>
        </w:tc>
        <w:tc>
          <w:tcPr>
            <w:tcW w:w="5999" w:type="dxa"/>
            <w:vAlign w:val="top"/>
          </w:tcPr>
          <w:p>
            <w:pPr>
              <w:pStyle w:val="14"/>
              <w:spacing w:before="55"/>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服务器需要兼容</w:t>
            </w:r>
            <w:r>
              <w:rPr>
                <w:rFonts w:hint="eastAsia" w:ascii="仿宋" w:hAnsi="仿宋" w:eastAsia="仿宋" w:cs="仿宋"/>
                <w:sz w:val="24"/>
                <w:szCs w:val="24"/>
              </w:rPr>
              <w:t>统信USO2.0(1050e)</w:t>
            </w:r>
            <w:r>
              <w:rPr>
                <w:rFonts w:hint="eastAsia" w:ascii="仿宋" w:hAnsi="仿宋" w:eastAsia="仿宋" w:cs="仿宋"/>
                <w:sz w:val="24"/>
                <w:szCs w:val="24"/>
                <w:lang w:eastAsia="zh-CN"/>
              </w:rPr>
              <w:t>、Linux CentOS-7.9-x64、</w:t>
            </w:r>
            <w:r>
              <w:rPr>
                <w:rFonts w:hint="eastAsia" w:ascii="仿宋" w:hAnsi="仿宋" w:eastAsia="仿宋" w:cs="仿宋"/>
                <w:sz w:val="24"/>
                <w:szCs w:val="24"/>
              </w:rPr>
              <w:t>银河麒麟(Kylin OS）</w:t>
            </w:r>
            <w:r>
              <w:rPr>
                <w:rFonts w:hint="eastAsia" w:ascii="仿宋" w:hAnsi="仿宋" w:eastAsia="仿宋" w:cs="仿宋"/>
                <w:sz w:val="24"/>
                <w:szCs w:val="24"/>
                <w:lang w:val="en-US" w:eastAsia="zh-CN"/>
              </w:rPr>
              <w:t>V11</w:t>
            </w:r>
            <w:r>
              <w:rPr>
                <w:rFonts w:hint="eastAsia" w:ascii="仿宋" w:hAnsi="仿宋" w:eastAsia="仿宋" w:cs="仿宋"/>
                <w:sz w:val="24"/>
                <w:szCs w:val="24"/>
                <w:lang w:eastAsia="zh-CN"/>
              </w:rPr>
              <w:t>、</w:t>
            </w:r>
            <w:r>
              <w:rPr>
                <w:rFonts w:hint="eastAsia" w:ascii="仿宋" w:hAnsi="仿宋" w:eastAsia="仿宋" w:cs="仿宋"/>
                <w:sz w:val="24"/>
                <w:szCs w:val="24"/>
              </w:rPr>
              <w:t>windows server2012 R2 64bit</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5"/>
              <w:ind w:left="138" w:leftChars="0" w:right="129"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CPU</w:t>
            </w:r>
          </w:p>
        </w:tc>
        <w:tc>
          <w:tcPr>
            <w:tcW w:w="5999" w:type="dxa"/>
            <w:vAlign w:val="top"/>
          </w:tcPr>
          <w:p>
            <w:pPr>
              <w:pStyle w:val="14"/>
              <w:spacing w:before="55"/>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rPr>
              <w:t xml:space="preserve">CPU </w:t>
            </w: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 核</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内存</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16</w:t>
            </w:r>
            <w:r>
              <w:rPr>
                <w:rFonts w:hint="eastAsia" w:ascii="仿宋" w:hAnsi="仿宋" w:eastAsia="仿宋" w:cs="仿宋"/>
                <w:sz w:val="24"/>
                <w:szCs w:val="24"/>
              </w:rPr>
              <w:t>G</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硬盘</w:t>
            </w:r>
            <w:r>
              <w:rPr>
                <w:rFonts w:hint="eastAsia" w:ascii="仿宋" w:hAnsi="仿宋" w:eastAsia="仿宋" w:cs="仿宋"/>
                <w:sz w:val="24"/>
                <w:szCs w:val="24"/>
                <w:lang w:val="en-US" w:eastAsia="zh-CN"/>
              </w:rPr>
              <w:t>阵列</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RAID5（奇偶校验）以上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sz w:val="24"/>
                <w:szCs w:val="24"/>
              </w:rPr>
            </w:pPr>
            <w:r>
              <w:rPr>
                <w:rFonts w:hint="eastAsia" w:ascii="仿宋" w:hAnsi="仿宋" w:eastAsia="仿宋" w:cs="仿宋"/>
                <w:sz w:val="24"/>
                <w:szCs w:val="24"/>
                <w:lang w:val="en-US" w:eastAsia="zh-CN"/>
              </w:rPr>
              <w:t>硬盘</w:t>
            </w:r>
          </w:p>
        </w:tc>
        <w:tc>
          <w:tcPr>
            <w:tcW w:w="5999" w:type="dxa"/>
            <w:vAlign w:val="top"/>
          </w:tcPr>
          <w:p>
            <w:pPr>
              <w:pStyle w:val="14"/>
              <w:spacing w:before="54"/>
              <w:ind w:left="10" w:leftChars="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TB</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b w:val="0"/>
                <w:bCs w:val="0"/>
                <w:color w:val="000000" w:themeColor="text1"/>
                <w:sz w:val="24"/>
                <w:szCs w:val="24"/>
                <w14:textFill>
                  <w14:solidFill>
                    <w14:schemeClr w14:val="tx1"/>
                  </w14:solidFill>
                </w14:textFill>
              </w:rPr>
            </w:pPr>
          </w:p>
        </w:tc>
        <w:tc>
          <w:tcPr>
            <w:tcW w:w="504" w:type="dxa"/>
            <w:vMerge w:val="continue"/>
            <w:vAlign w:val="center"/>
          </w:tcPr>
          <w:p>
            <w:pPr>
              <w:jc w:val="both"/>
              <w:rPr>
                <w:rFonts w:hint="eastAsia" w:ascii="仿宋" w:hAnsi="仿宋" w:eastAsia="仿宋" w:cs="仿宋"/>
                <w:sz w:val="24"/>
                <w:szCs w:val="24"/>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电源</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双电源供电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restart"/>
            <w:tcBorders>
              <w:left w:val="single" w:color="auto" w:sz="4" w:space="0"/>
            </w:tcBorders>
            <w:vAlign w:val="center"/>
          </w:tcPr>
          <w:p>
            <w:pPr>
              <w:pStyle w:val="14"/>
              <w:spacing w:line="324" w:lineRule="auto"/>
              <w:ind w:right="87" w:rightChars="0"/>
              <w:jc w:val="both"/>
              <w:rPr>
                <w:rFonts w:hint="eastAsia" w:ascii="仿宋" w:hAnsi="仿宋" w:eastAsia="仿宋" w:cs="仿宋"/>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3.</w:t>
            </w:r>
            <w:r>
              <w:rPr>
                <w:rFonts w:hint="eastAsia" w:ascii="仿宋" w:hAnsi="仿宋" w:eastAsia="仿宋" w:cs="仿宋"/>
                <w:b w:val="0"/>
                <w:bCs w:val="0"/>
                <w:color w:val="000000" w:themeColor="text1"/>
                <w:sz w:val="24"/>
                <w:szCs w:val="24"/>
                <w14:textFill>
                  <w14:solidFill>
                    <w14:schemeClr w14:val="tx1"/>
                  </w14:solidFill>
                </w14:textFill>
              </w:rPr>
              <w:t>前置机服务器备注：必配</w:t>
            </w:r>
          </w:p>
        </w:tc>
        <w:tc>
          <w:tcPr>
            <w:tcW w:w="504" w:type="dxa"/>
            <w:vMerge w:val="restart"/>
            <w:vAlign w:val="center"/>
          </w:tcPr>
          <w:p>
            <w:pPr>
              <w:pStyle w:val="14"/>
              <w:ind w:left="8" w:leftChars="0"/>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1</w:t>
            </w:r>
            <w:r>
              <w:rPr>
                <w:rFonts w:hint="eastAsia" w:ascii="仿宋" w:hAnsi="仿宋" w:eastAsia="仿宋" w:cs="仿宋"/>
                <w:sz w:val="24"/>
                <w:szCs w:val="24"/>
                <w:lang w:eastAsia="zh-Hans"/>
              </w:rPr>
              <w:t>台</w:t>
            </w:r>
          </w:p>
        </w:tc>
        <w:tc>
          <w:tcPr>
            <w:tcW w:w="1284" w:type="dxa"/>
            <w:vAlign w:val="top"/>
          </w:tcPr>
          <w:p>
            <w:pPr>
              <w:pStyle w:val="14"/>
              <w:spacing w:before="53"/>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操作系统</w:t>
            </w:r>
          </w:p>
        </w:tc>
        <w:tc>
          <w:tcPr>
            <w:tcW w:w="5999" w:type="dxa"/>
            <w:vAlign w:val="top"/>
          </w:tcPr>
          <w:p>
            <w:pPr>
              <w:pStyle w:val="14"/>
              <w:spacing w:before="55"/>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服务器需要兼容</w:t>
            </w:r>
            <w:r>
              <w:rPr>
                <w:rFonts w:hint="eastAsia" w:ascii="仿宋" w:hAnsi="仿宋" w:eastAsia="仿宋" w:cs="仿宋"/>
                <w:sz w:val="24"/>
                <w:szCs w:val="24"/>
              </w:rPr>
              <w:t>统信USO2.0(1050e)</w:t>
            </w:r>
            <w:r>
              <w:rPr>
                <w:rFonts w:hint="eastAsia" w:ascii="仿宋" w:hAnsi="仿宋" w:eastAsia="仿宋" w:cs="仿宋"/>
                <w:sz w:val="24"/>
                <w:szCs w:val="24"/>
                <w:lang w:eastAsia="zh-CN"/>
              </w:rPr>
              <w:t>、Linux CentOS-7.9-x64、</w:t>
            </w:r>
            <w:r>
              <w:rPr>
                <w:rFonts w:hint="eastAsia" w:ascii="仿宋" w:hAnsi="仿宋" w:eastAsia="仿宋" w:cs="仿宋"/>
                <w:sz w:val="24"/>
                <w:szCs w:val="24"/>
              </w:rPr>
              <w:t>银河麒麟(Kylin OS）</w:t>
            </w:r>
            <w:r>
              <w:rPr>
                <w:rFonts w:hint="eastAsia" w:ascii="仿宋" w:hAnsi="仿宋" w:eastAsia="仿宋" w:cs="仿宋"/>
                <w:sz w:val="24"/>
                <w:szCs w:val="24"/>
                <w:lang w:val="en-US" w:eastAsia="zh-CN"/>
              </w:rPr>
              <w:t>V11</w:t>
            </w:r>
            <w:r>
              <w:rPr>
                <w:rFonts w:hint="eastAsia" w:ascii="仿宋" w:hAnsi="仿宋" w:eastAsia="仿宋" w:cs="仿宋"/>
                <w:sz w:val="24"/>
                <w:szCs w:val="24"/>
                <w:lang w:eastAsia="zh-CN"/>
              </w:rPr>
              <w:t>、</w:t>
            </w:r>
            <w:r>
              <w:rPr>
                <w:rFonts w:hint="eastAsia" w:ascii="仿宋" w:hAnsi="仿宋" w:eastAsia="仿宋" w:cs="仿宋"/>
                <w:sz w:val="24"/>
                <w:szCs w:val="24"/>
              </w:rPr>
              <w:t>windows server2012 R2 64bit</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pStyle w:val="14"/>
              <w:spacing w:line="324" w:lineRule="auto"/>
              <w:ind w:right="87" w:rightChars="0"/>
              <w:jc w:val="both"/>
              <w:rPr>
                <w:rFonts w:hint="eastAsia" w:ascii="仿宋" w:hAnsi="仿宋" w:eastAsia="仿宋" w:cs="仿宋"/>
                <w:b w:val="0"/>
                <w:bCs w:val="0"/>
                <w:color w:val="000000" w:themeColor="text1"/>
                <w:sz w:val="24"/>
                <w:szCs w:val="24"/>
                <w:lang w:val="en-US" w:eastAsia="zh-CN"/>
                <w14:textFill>
                  <w14:solidFill>
                    <w14:schemeClr w14:val="tx1"/>
                  </w14:solidFill>
                </w14:textFill>
              </w:rPr>
            </w:pPr>
          </w:p>
        </w:tc>
        <w:tc>
          <w:tcPr>
            <w:tcW w:w="504" w:type="dxa"/>
            <w:vMerge w:val="continue"/>
            <w:vAlign w:val="center"/>
          </w:tcPr>
          <w:p>
            <w:pPr>
              <w:pStyle w:val="14"/>
              <w:ind w:left="8" w:leftChars="0"/>
              <w:jc w:val="both"/>
              <w:rPr>
                <w:rFonts w:hint="eastAsia" w:ascii="仿宋" w:hAnsi="仿宋" w:eastAsia="仿宋" w:cs="仿宋"/>
                <w:sz w:val="24"/>
                <w:szCs w:val="24"/>
              </w:rPr>
            </w:pPr>
          </w:p>
        </w:tc>
        <w:tc>
          <w:tcPr>
            <w:tcW w:w="1284" w:type="dxa"/>
            <w:vAlign w:val="top"/>
          </w:tcPr>
          <w:p>
            <w:pPr>
              <w:pStyle w:val="14"/>
              <w:spacing w:before="55"/>
              <w:ind w:left="138" w:leftChars="0" w:right="129"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CPU</w:t>
            </w:r>
          </w:p>
        </w:tc>
        <w:tc>
          <w:tcPr>
            <w:tcW w:w="5999" w:type="dxa"/>
            <w:vAlign w:val="top"/>
          </w:tcPr>
          <w:p>
            <w:pPr>
              <w:pStyle w:val="14"/>
              <w:spacing w:before="55"/>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rPr>
              <w:t xml:space="preserve">CPU </w:t>
            </w: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 核</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sz w:val="24"/>
                <w:szCs w:val="24"/>
              </w:rPr>
            </w:pPr>
          </w:p>
        </w:tc>
        <w:tc>
          <w:tcPr>
            <w:tcW w:w="504" w:type="dxa"/>
            <w:vMerge w:val="continue"/>
            <w:vAlign w:val="center"/>
          </w:tcPr>
          <w:p>
            <w:pPr>
              <w:jc w:val="both"/>
              <w:rPr>
                <w:rFonts w:hint="eastAsia" w:ascii="仿宋" w:hAnsi="仿宋" w:eastAsia="仿宋" w:cs="仿宋"/>
                <w:kern w:val="2"/>
                <w:sz w:val="24"/>
                <w:szCs w:val="24"/>
                <w:lang w:val="en-US" w:eastAsia="zh-CN" w:bidi="ar-SA"/>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内存</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16</w:t>
            </w:r>
            <w:r>
              <w:rPr>
                <w:rFonts w:hint="eastAsia" w:ascii="仿宋" w:hAnsi="仿宋" w:eastAsia="仿宋" w:cs="仿宋"/>
                <w:sz w:val="24"/>
                <w:szCs w:val="24"/>
              </w:rPr>
              <w:t>G</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sz w:val="24"/>
                <w:szCs w:val="24"/>
              </w:rPr>
            </w:pPr>
          </w:p>
        </w:tc>
        <w:tc>
          <w:tcPr>
            <w:tcW w:w="504" w:type="dxa"/>
            <w:vMerge w:val="continue"/>
            <w:vAlign w:val="center"/>
          </w:tcPr>
          <w:p>
            <w:pPr>
              <w:jc w:val="both"/>
              <w:rPr>
                <w:rFonts w:hint="eastAsia" w:ascii="仿宋" w:hAnsi="仿宋" w:eastAsia="仿宋" w:cs="仿宋"/>
                <w:kern w:val="2"/>
                <w:sz w:val="24"/>
                <w:szCs w:val="24"/>
                <w:lang w:val="en-US" w:eastAsia="zh-CN" w:bidi="ar-SA"/>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硬盘</w:t>
            </w:r>
            <w:r>
              <w:rPr>
                <w:rFonts w:hint="eastAsia" w:ascii="仿宋" w:hAnsi="仿宋" w:eastAsia="仿宋" w:cs="仿宋"/>
                <w:sz w:val="24"/>
                <w:szCs w:val="24"/>
                <w:lang w:val="en-US" w:eastAsia="zh-CN"/>
              </w:rPr>
              <w:t>阵列</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RAID5（奇偶校验）以上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sz w:val="24"/>
                <w:szCs w:val="24"/>
              </w:rPr>
            </w:pPr>
          </w:p>
        </w:tc>
        <w:tc>
          <w:tcPr>
            <w:tcW w:w="504" w:type="dxa"/>
            <w:vMerge w:val="continue"/>
            <w:vAlign w:val="center"/>
          </w:tcPr>
          <w:p>
            <w:pPr>
              <w:jc w:val="both"/>
              <w:rPr>
                <w:rFonts w:hint="eastAsia" w:ascii="仿宋" w:hAnsi="仿宋" w:eastAsia="仿宋" w:cs="仿宋"/>
                <w:kern w:val="2"/>
                <w:sz w:val="24"/>
                <w:szCs w:val="24"/>
                <w:lang w:val="en-US" w:eastAsia="zh-CN" w:bidi="ar-SA"/>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硬盘</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500G</w:t>
            </w:r>
            <w:r>
              <w:rPr>
                <w:rFonts w:hint="eastAsia" w:ascii="仿宋" w:hAnsi="仿宋" w:eastAsia="仿宋" w:cs="仿宋"/>
                <w:sz w:val="24"/>
                <w:szCs w:val="24"/>
              </w:rPr>
              <w:t>B</w:t>
            </w:r>
            <w:r>
              <w:rPr>
                <w:rFonts w:hint="eastAsia" w:ascii="仿宋" w:hAnsi="仿宋" w:eastAsia="仿宋" w:cs="仿宋"/>
                <w:sz w:val="24"/>
                <w:szCs w:val="24"/>
                <w:lang w:val="en-US" w:eastAsia="zh-CN"/>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290" w:type="dxa"/>
            <w:vMerge w:val="continue"/>
            <w:tcBorders>
              <w:left w:val="single" w:color="auto" w:sz="4" w:space="0"/>
            </w:tcBorders>
            <w:vAlign w:val="center"/>
          </w:tcPr>
          <w:p>
            <w:pPr>
              <w:jc w:val="both"/>
              <w:rPr>
                <w:rFonts w:hint="eastAsia" w:ascii="仿宋" w:hAnsi="仿宋" w:eastAsia="仿宋" w:cs="仿宋"/>
                <w:sz w:val="24"/>
                <w:szCs w:val="24"/>
              </w:rPr>
            </w:pPr>
          </w:p>
        </w:tc>
        <w:tc>
          <w:tcPr>
            <w:tcW w:w="504" w:type="dxa"/>
            <w:vMerge w:val="continue"/>
            <w:vAlign w:val="center"/>
          </w:tcPr>
          <w:p>
            <w:pPr>
              <w:jc w:val="both"/>
              <w:rPr>
                <w:rFonts w:hint="eastAsia" w:ascii="仿宋" w:hAnsi="仿宋" w:eastAsia="仿宋" w:cs="仿宋"/>
                <w:kern w:val="2"/>
                <w:sz w:val="24"/>
                <w:szCs w:val="24"/>
                <w:lang w:val="en-US" w:eastAsia="zh-CN" w:bidi="ar-SA"/>
              </w:rPr>
            </w:pPr>
          </w:p>
        </w:tc>
        <w:tc>
          <w:tcPr>
            <w:tcW w:w="1284" w:type="dxa"/>
            <w:vAlign w:val="top"/>
          </w:tcPr>
          <w:p>
            <w:pPr>
              <w:pStyle w:val="14"/>
              <w:spacing w:before="54"/>
              <w:ind w:left="138" w:leftChars="0" w:right="131" w:rightChars="0"/>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电源</w:t>
            </w:r>
          </w:p>
        </w:tc>
        <w:tc>
          <w:tcPr>
            <w:tcW w:w="5999" w:type="dxa"/>
            <w:vAlign w:val="top"/>
          </w:tcPr>
          <w:p>
            <w:pPr>
              <w:pStyle w:val="14"/>
              <w:spacing w:before="54"/>
              <w:ind w:left="10" w:left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双电源供电</w:t>
            </w:r>
          </w:p>
        </w:tc>
      </w:tr>
    </w:tbl>
    <w:p>
      <w:pPr>
        <w:widowControl/>
        <w:rPr>
          <w:rFonts w:hint="eastAsia" w:ascii="仿宋" w:hAnsi="仿宋" w:eastAsia="仿宋" w:cs="仿宋"/>
          <w:b/>
          <w:bCs/>
          <w:sz w:val="30"/>
          <w:szCs w:val="30"/>
        </w:rPr>
      </w:pPr>
      <w:r>
        <w:rPr>
          <w:rFonts w:hint="eastAsia" w:ascii="仿宋" w:hAnsi="仿宋" w:eastAsia="仿宋" w:cs="仿宋"/>
          <w:b/>
          <w:bCs/>
          <w:sz w:val="30"/>
          <w:szCs w:val="30"/>
          <w:lang w:val="en-US" w:eastAsia="zh-CN"/>
        </w:rPr>
        <w:t xml:space="preserve">第四章 </w:t>
      </w:r>
      <w:r>
        <w:rPr>
          <w:rFonts w:hint="eastAsia" w:ascii="仿宋" w:hAnsi="仿宋" w:eastAsia="仿宋" w:cs="仿宋"/>
          <w:b/>
          <w:bCs/>
          <w:sz w:val="30"/>
          <w:szCs w:val="30"/>
        </w:rPr>
        <w:t>效益分析</w:t>
      </w:r>
      <w:r>
        <w:rPr>
          <w:rFonts w:hint="eastAsia" w:ascii="仿宋" w:hAnsi="仿宋" w:eastAsia="仿宋" w:cs="仿宋"/>
          <w:b/>
          <w:bCs/>
          <w:sz w:val="30"/>
          <w:szCs w:val="30"/>
          <w:lang w:val="en-US" w:eastAsia="zh-CN"/>
        </w:rPr>
        <w:t>与风险应对</w:t>
      </w:r>
    </w:p>
    <w:p>
      <w:pPr>
        <w:pStyle w:val="4"/>
        <w:numPr>
          <w:ilvl w:val="0"/>
          <w:numId w:val="0"/>
        </w:numPr>
        <w:spacing w:line="240" w:lineRule="auto"/>
        <w:rPr>
          <w:rFonts w:hint="eastAsia" w:ascii="仿宋" w:hAnsi="仿宋" w:eastAsia="仿宋" w:cs="仿宋"/>
          <w:sz w:val="24"/>
          <w:szCs w:val="24"/>
          <w:lang w:val="en-US" w:eastAsia="zh-CN"/>
        </w:rPr>
      </w:pPr>
      <w:r>
        <w:rPr>
          <w:rFonts w:hint="eastAsia" w:ascii="仿宋" w:hAnsi="仿宋" w:eastAsia="仿宋" w:cs="仿宋"/>
          <w:sz w:val="30"/>
          <w:szCs w:val="30"/>
          <w:lang w:val="en-US" w:eastAsia="zh-CN"/>
        </w:rPr>
        <w:t>（一）</w:t>
      </w:r>
      <w:r>
        <w:rPr>
          <w:rFonts w:hint="eastAsia" w:ascii="仿宋" w:hAnsi="仿宋" w:eastAsia="仿宋" w:cs="仿宋"/>
          <w:sz w:val="30"/>
          <w:szCs w:val="30"/>
        </w:rPr>
        <w:t>效益分析</w:t>
      </w:r>
    </w:p>
    <w:p>
      <w:pPr>
        <w:pStyle w:val="4"/>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经济效益</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采购成本下降：公开竞价 + 价格监测，综合节资率 5%-15%</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管理成本下降：无纸化、少人工、降沟通与时间成本</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资金效率提升：预算精准、支付及时、减少浪费</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社会效益</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合规透明：全程留痕，接受监督，降低廉政风险</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保障供应：流程高效，临床物资及时到位</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行业示范：为区域医疗机构数字化采购提供样板</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管理效益</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流程标准化、制度刚性化、决策数据化</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审计便捷、追溯清晰、内控到位</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供应商服务提升，营商环境优化</w:t>
      </w:r>
    </w:p>
    <w:p>
      <w:pPr>
        <w:pStyle w:val="4"/>
        <w:spacing w:line="240" w:lineRule="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风险分析与应对</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政策合规风险</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风险：法规更新、监管要求变化</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应对：紧跟政策，平台模块化迭代，内置合规规则</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技术风险</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风险：集成复杂、性能不稳、安全漏洞</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应对：成熟技术架构、等保三级、测试验证、容灾备份</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实施风险</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风险：部门协同不足、用户接受度低、进度延误</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应对：专班推进、全员培训、制度先行、分步上线</w:t>
      </w:r>
    </w:p>
    <w:p>
      <w:pPr>
        <w:pStyle w:val="5"/>
        <w:spacing w:line="240" w:lineRule="auto"/>
        <w:rPr>
          <w:rFonts w:hint="eastAsia" w:ascii="仿宋" w:hAnsi="仿宋" w:eastAsia="仿宋" w:cs="仿宋"/>
          <w:sz w:val="24"/>
          <w:szCs w:val="24"/>
        </w:rPr>
      </w:pPr>
      <w:r>
        <w:rPr>
          <w:rFonts w:hint="eastAsia" w:ascii="仿宋" w:hAnsi="仿宋" w:eastAsia="仿宋" w:cs="仿宋"/>
          <w:sz w:val="24"/>
          <w:szCs w:val="24"/>
        </w:rPr>
        <w:t xml:space="preserve">4 </w:t>
      </w:r>
      <w:r>
        <w:rPr>
          <w:rFonts w:hint="eastAsia" w:ascii="仿宋" w:hAnsi="仿宋" w:eastAsia="仿宋" w:cs="仿宋"/>
          <w:sz w:val="24"/>
          <w:szCs w:val="24"/>
          <w:lang w:eastAsia="zh-CN"/>
        </w:rPr>
        <w:t>、</w:t>
      </w:r>
      <w:r>
        <w:rPr>
          <w:rFonts w:hint="eastAsia" w:ascii="仿宋" w:hAnsi="仿宋" w:eastAsia="仿宋" w:cs="仿宋"/>
          <w:sz w:val="24"/>
          <w:szCs w:val="24"/>
        </w:rPr>
        <w:t>运营风险</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风险：供应商不习惯线上、数据维护不到位</w:t>
      </w:r>
    </w:p>
    <w:p>
      <w:pPr>
        <w:pStyle w:val="12"/>
        <w:numPr>
          <w:ilvl w:val="0"/>
          <w:numId w:val="0"/>
        </w:numPr>
        <w:spacing w:line="240" w:lineRule="auto"/>
        <w:ind w:leftChars="0"/>
        <w:rPr>
          <w:rFonts w:hint="eastAsia" w:ascii="仿宋" w:hAnsi="仿宋" w:eastAsia="仿宋" w:cs="仿宋"/>
          <w:sz w:val="24"/>
          <w:szCs w:val="24"/>
        </w:rPr>
      </w:pPr>
      <w:r>
        <w:rPr>
          <w:rFonts w:hint="eastAsia" w:ascii="仿宋" w:hAnsi="仿宋" w:eastAsia="仿宋" w:cs="仿宋"/>
          <w:sz w:val="24"/>
          <w:szCs w:val="24"/>
        </w:rPr>
        <w:t>应对：供应商培训、操作手册、专人运维、考核激励</w:t>
      </w:r>
    </w:p>
    <w:p>
      <w:pPr>
        <w:widowControl/>
        <w:rPr>
          <w:rFonts w:hint="eastAsia" w:ascii="仿宋" w:hAnsi="仿宋" w:eastAsia="仿宋"/>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黑体" w:hAnsi="黑体" w:eastAsia="黑体" w:cs="黑体"/>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仿宋_GB2312" w:hAnsi="仿宋_GB2312" w:eastAsia="仿宋_GB2312" w:cs="仿宋_GB2312"/>
                              <w:sz w:val="32"/>
                              <w:szCs w:val="3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仿宋_GB2312" w:hAnsi="仿宋_GB2312" w:eastAsia="仿宋_GB2312" w:cs="仿宋_GB2312"/>
                        <w:sz w:val="32"/>
                        <w:szCs w:val="32"/>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A57E12"/>
    <w:multiLevelType w:val="singleLevel"/>
    <w:tmpl w:val="EBA57E12"/>
    <w:lvl w:ilvl="0" w:tentative="0">
      <w:start w:val="1"/>
      <w:numFmt w:val="chineseCounting"/>
      <w:suff w:val="space"/>
      <w:lvlText w:val="第%1章"/>
      <w:lvlJc w:val="left"/>
      <w:rPr>
        <w:rFonts w:hint="eastAsia" w:ascii="Times New Roman" w:hAnsi="Times New Roman" w:cs="Times New Roman"/>
      </w:rPr>
    </w:lvl>
  </w:abstractNum>
  <w:abstractNum w:abstractNumId="1">
    <w:nsid w:val="38501902"/>
    <w:multiLevelType w:val="multilevel"/>
    <w:tmpl w:val="38501902"/>
    <w:lvl w:ilvl="0" w:tentative="0">
      <w:start w:val="1"/>
      <w:numFmt w:val="decimal"/>
      <w:lvlText w:val="%1."/>
      <w:lvlJc w:val="left"/>
      <w:pPr>
        <w:ind w:left="1715"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A2C56DA"/>
    <w:multiLevelType w:val="singleLevel"/>
    <w:tmpl w:val="3A2C56DA"/>
    <w:lvl w:ilvl="0" w:tentative="0">
      <w:start w:val="1"/>
      <w:numFmt w:val="chineseCounting"/>
      <w:suff w:val="nothing"/>
      <w:lvlText w:val="%1、"/>
      <w:lvlJc w:val="left"/>
      <w:rPr>
        <w:rFonts w:hint="eastAsia"/>
      </w:rPr>
    </w:lvl>
  </w:abstractNum>
  <w:abstractNum w:abstractNumId="3">
    <w:nsid w:val="7C6F0885"/>
    <w:multiLevelType w:val="multilevel"/>
    <w:tmpl w:val="7C6F0885"/>
    <w:lvl w:ilvl="0" w:tentative="0">
      <w:start w:val="1"/>
      <w:numFmt w:val="chineseCountingThousand"/>
      <w:lvlText w:val="(%1)"/>
      <w:lvlJc w:val="left"/>
      <w:pPr>
        <w:ind w:left="440" w:hanging="440"/>
      </w:pPr>
    </w:lvl>
    <w:lvl w:ilvl="1" w:tentative="0">
      <w:start w:val="65"/>
      <w:numFmt w:val="bullet"/>
      <w:lvlText w:val="▲"/>
      <w:lvlJc w:val="left"/>
      <w:pPr>
        <w:ind w:left="800" w:hanging="360"/>
      </w:pPr>
      <w:rPr>
        <w:rFonts w:hint="eastAsia" w:ascii="仿宋" w:hAnsi="仿宋" w:eastAsia="仿宋" w:cstheme="minorBidi"/>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537F09"/>
    <w:rsid w:val="586817DF"/>
    <w:rsid w:val="7C682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24"/>
      <w:szCs w:val="24"/>
      <w:lang w:val="zh-CN" w:eastAsia="zh-CN" w:bidi="zh-CN"/>
    </w:rPr>
  </w:style>
  <w:style w:type="paragraph" w:styleId="6">
    <w:name w:val="Normal Indent"/>
    <w:basedOn w:val="1"/>
    <w:next w:val="7"/>
    <w:unhideWhenUsed/>
    <w:qFormat/>
    <w:uiPriority w:val="0"/>
    <w:pPr>
      <w:ind w:firstLine="420" w:firstLineChars="200"/>
    </w:pPr>
  </w:style>
  <w:style w:type="paragraph" w:customStyle="1" w:styleId="7">
    <w:name w:val="正文样式"/>
    <w:basedOn w:val="1"/>
    <w:qFormat/>
    <w:uiPriority w:val="0"/>
    <w:pPr>
      <w:widowControl/>
      <w:jc w:val="left"/>
    </w:pPr>
    <w:rPr>
      <w:rFonts w:asciiTheme="minorHAnsi" w:hAnsiTheme="minorHAnsi" w:eastAsiaTheme="minorEastAsia" w:cstheme="minorBidi"/>
      <w:sz w:val="28"/>
      <w:szCs w:val="22"/>
    </w:rPr>
  </w:style>
  <w:style w:type="paragraph" w:styleId="8">
    <w:name w:val="footer"/>
    <w:basedOn w:val="1"/>
    <w:unhideWhenUsed/>
    <w:qFormat/>
    <w:uiPriority w:val="99"/>
    <w:pPr>
      <w:tabs>
        <w:tab w:val="center" w:pos="4153"/>
        <w:tab w:val="right" w:pos="8306"/>
      </w:tabs>
      <w:snapToGrid w:val="0"/>
      <w:jc w:val="left"/>
    </w:pPr>
    <w:rPr>
      <w:sz w:val="18"/>
    </w:rPr>
  </w:style>
  <w:style w:type="paragraph" w:customStyle="1" w:styleId="11">
    <w:name w:val="HTML 预设格式1"/>
    <w:basedOn w:val="1"/>
    <w:qFormat/>
    <w:uiPriority w:val="0"/>
    <w:pPr>
      <w:widowControl/>
      <w:spacing w:line="330" w:lineRule="atLeast"/>
      <w:jc w:val="left"/>
    </w:pPr>
    <w:rPr>
      <w:rFonts w:hint="default" w:ascii="Arial" w:hAnsi="Arial"/>
      <w:kern w:val="0"/>
      <w:szCs w:val="21"/>
    </w:r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 w:type="paragraph" w:styleId="13">
    <w:name w:val="List Paragraph"/>
    <w:basedOn w:val="1"/>
    <w:qFormat/>
    <w:uiPriority w:val="34"/>
    <w:pPr>
      <w:ind w:firstLine="420" w:firstLineChars="200"/>
    </w:pPr>
  </w:style>
  <w:style w:type="paragraph" w:customStyle="1" w:styleId="14">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11</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2026-07-15T02:20:00Z</dcterms:created>
  <dc:creator>HP</dc:creator>
  <cp:lastModifiedBy>10075</cp:lastModifiedBy>
  <cp:lastPrinted>2026-08-06T09:05:44Z</cp:lastPrinted>
  <dcterms:modified xsi:type="dcterms:W3CDTF">2026-08-06T09:10:22Z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KSOTemplateDocerSaveRecord">
    <vt:lpwstr>eyJoZGlkIjoiN2Q5MGM1ZmY4MmQ5M2U5NGJkZWFlY2UwNGNmNDEwNzYiLCJ1c2VySWQiOiI1MjAzMzQ5MzEifQ==</vt:lpwstr>
  </property>
  <property fmtid="{D5CDD505-2E9C-101B-9397-08002B2CF9AE}" pid="4" name="ICV">
    <vt:lpwstr>FA81364998304F428691697F978D49C7</vt:lpwstr>
  </property>
</Properties>
</file>